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Times New Roman" w:hAnsi="Times New Roman" w:eastAsia="方正仿宋_GBK"/>
          <w:sz w:val="32"/>
          <w:szCs w:val="32"/>
          <w:shd w:val="clear" w:color="auto" w:fill="FFFFFF"/>
        </w:rPr>
      </w:pPr>
      <w:bookmarkStart w:id="0" w:name="_Toc24727"/>
      <w:bookmarkEnd w:id="0"/>
      <w:bookmarkStart w:id="1" w:name="_Toc17376"/>
      <w:bookmarkEnd w:id="1"/>
      <w:bookmarkStart w:id="2" w:name="_Toc15543"/>
      <w:bookmarkStart w:id="3" w:name="_Toc24251"/>
      <w:bookmarkStart w:id="4" w:name="_Toc28000"/>
      <w:bookmarkStart w:id="5" w:name="_Toc8977"/>
      <w:bookmarkStart w:id="6" w:name="_Toc10434"/>
      <w:bookmarkStart w:id="7" w:name="_Toc17516"/>
      <w:bookmarkStart w:id="8" w:name="_Toc20813"/>
      <w:bookmarkStart w:id="9" w:name="_Toc9181"/>
      <w:bookmarkStart w:id="10" w:name="_Toc5425"/>
      <w:bookmarkStart w:id="11" w:name="_Toc28952"/>
      <w:bookmarkStart w:id="12" w:name="_Toc8493"/>
      <w:bookmarkStart w:id="13" w:name="_Toc5059"/>
      <w:bookmarkStart w:id="14" w:name="_Toc30166"/>
      <w:bookmarkStart w:id="15" w:name="_Toc25405"/>
      <w:bookmarkStart w:id="16" w:name="_Toc24068"/>
      <w:bookmarkStart w:id="17" w:name="_Toc2473"/>
      <w:bookmarkStart w:id="18" w:name="_Toc4830"/>
      <w:bookmarkStart w:id="19" w:name="_Toc30399"/>
      <w:bookmarkStart w:id="20" w:name="_Toc17336"/>
      <w:bookmarkStart w:id="21" w:name="_Toc17875"/>
    </w:p>
    <w:p>
      <w:pPr>
        <w:snapToGrid w:val="0"/>
        <w:spacing w:line="580" w:lineRule="exact"/>
        <w:jc w:val="center"/>
        <w:rPr>
          <w:rFonts w:ascii="Times New Roman" w:hAnsi="Times New Roman" w:eastAsia="方正仿宋_GBK"/>
          <w:sz w:val="32"/>
          <w:szCs w:val="32"/>
          <w:shd w:val="clear" w:color="auto" w:fill="FFFFFF"/>
        </w:rPr>
      </w:pPr>
    </w:p>
    <w:p>
      <w:pPr>
        <w:snapToGrid w:val="0"/>
        <w:spacing w:line="580" w:lineRule="exact"/>
        <w:jc w:val="center"/>
        <w:rPr>
          <w:rFonts w:ascii="Times New Roman" w:hAnsi="Times New Roman" w:eastAsia="方正仿宋_GBK"/>
          <w:sz w:val="32"/>
          <w:szCs w:val="32"/>
          <w:shd w:val="clear" w:color="auto" w:fill="FFFFFF"/>
        </w:rPr>
      </w:pPr>
    </w:p>
    <w:p>
      <w:pPr>
        <w:snapToGrid w:val="0"/>
        <w:spacing w:line="580" w:lineRule="exact"/>
        <w:jc w:val="center"/>
        <w:rPr>
          <w:rFonts w:ascii="Times New Roman" w:hAnsi="Times New Roman" w:eastAsia="方正仿宋_GBK"/>
          <w:sz w:val="32"/>
          <w:szCs w:val="32"/>
          <w:shd w:val="clear" w:color="auto" w:fill="FFFFFF"/>
        </w:rPr>
      </w:pPr>
    </w:p>
    <w:p>
      <w:pPr>
        <w:snapToGrid w:val="0"/>
        <w:spacing w:line="580" w:lineRule="exact"/>
        <w:jc w:val="center"/>
        <w:rPr>
          <w:rFonts w:ascii="Times New Roman" w:hAnsi="Times New Roman" w:eastAsia="方正仿宋_GBK"/>
          <w:sz w:val="32"/>
          <w:szCs w:val="32"/>
          <w:shd w:val="clear" w:color="auto" w:fill="FFFFFF"/>
        </w:rPr>
      </w:pPr>
    </w:p>
    <w:p>
      <w:pPr>
        <w:snapToGrid w:val="0"/>
        <w:spacing w:line="580" w:lineRule="exact"/>
        <w:jc w:val="center"/>
        <w:rPr>
          <w:rFonts w:ascii="Times New Roman" w:hAnsi="Times New Roman" w:eastAsia="方正仿宋_GBK"/>
          <w:sz w:val="32"/>
          <w:szCs w:val="32"/>
          <w:shd w:val="clear" w:color="auto" w:fill="FFFFFF"/>
        </w:rPr>
      </w:pPr>
    </w:p>
    <w:p>
      <w:pPr>
        <w:snapToGrid w:val="0"/>
        <w:spacing w:line="580" w:lineRule="exact"/>
        <w:jc w:val="center"/>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宿政办发〔202</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号</w:t>
      </w:r>
    </w:p>
    <w:p>
      <w:pPr>
        <w:pStyle w:val="6"/>
        <w:spacing w:after="0" w:line="530" w:lineRule="exact"/>
        <w:jc w:val="center"/>
      </w:pPr>
    </w:p>
    <w:p>
      <w:pPr>
        <w:spacing w:line="530" w:lineRule="exact"/>
        <w:jc w:val="center"/>
      </w:pPr>
    </w:p>
    <w:p>
      <w:pPr>
        <w:widowControl/>
        <w:spacing w:line="590" w:lineRule="exact"/>
        <w:jc w:val="center"/>
        <w:rPr>
          <w:rFonts w:ascii="Times New Roman" w:hAnsi="Times New Roman" w:eastAsia="方正小标宋_GBK"/>
          <w:kern w:val="0"/>
          <w:sz w:val="44"/>
          <w:szCs w:val="44"/>
        </w:rPr>
      </w:pPr>
      <w:bookmarkStart w:id="22" w:name="OLE_LINK1"/>
      <w:r>
        <w:rPr>
          <w:rFonts w:ascii="Times New Roman" w:hAnsi="Times New Roman" w:eastAsia="方正小标宋_GBK"/>
          <w:kern w:val="0"/>
          <w:sz w:val="44"/>
          <w:szCs w:val="44"/>
        </w:rPr>
        <w:t>市政府办公室关于印发</w:t>
      </w:r>
      <w:r>
        <w:rPr>
          <w:rFonts w:hint="eastAsia" w:ascii="Times New Roman" w:hAnsi="Times New Roman" w:eastAsia="方正小标宋_GBK"/>
          <w:kern w:val="0"/>
          <w:sz w:val="44"/>
          <w:szCs w:val="44"/>
        </w:rPr>
        <w:t>宿迁市“十四五”</w:t>
      </w:r>
    </w:p>
    <w:p>
      <w:pPr>
        <w:widowControl/>
        <w:spacing w:line="590" w:lineRule="exact"/>
        <w:jc w:val="center"/>
        <w:rPr>
          <w:rFonts w:ascii="Times New Roman" w:hAnsi="Times New Roman" w:eastAsia="方正小标宋_GBK"/>
          <w:color w:val="000000"/>
          <w:spacing w:val="-17"/>
          <w:kern w:val="0"/>
          <w:sz w:val="44"/>
          <w:szCs w:val="44"/>
        </w:rPr>
      </w:pPr>
      <w:r>
        <w:rPr>
          <w:rFonts w:hint="eastAsia" w:ascii="Times New Roman" w:hAnsi="Times New Roman" w:eastAsia="方正小标宋_GBK"/>
          <w:kern w:val="0"/>
          <w:sz w:val="44"/>
          <w:szCs w:val="44"/>
        </w:rPr>
        <w:t>公共体育设施</w:t>
      </w:r>
      <w:bookmarkEnd w:id="2"/>
      <w:bookmarkEnd w:id="3"/>
      <w:bookmarkEnd w:id="4"/>
      <w:bookmarkStart w:id="23" w:name="_Toc21171"/>
      <w:bookmarkStart w:id="24" w:name="_Toc21713"/>
      <w:bookmarkStart w:id="25" w:name="_Toc5802"/>
      <w:r>
        <w:rPr>
          <w:rFonts w:hint="eastAsia" w:ascii="Times New Roman" w:hAnsi="Times New Roman" w:eastAsia="方正小标宋_GBK"/>
          <w:kern w:val="0"/>
          <w:sz w:val="44"/>
          <w:szCs w:val="44"/>
        </w:rPr>
        <w:t>提升工程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6" w:name="_Toc2672"/>
      <w:bookmarkStart w:id="27" w:name="_Toc21962"/>
      <w:bookmarkStart w:id="28" w:name="_Toc21629"/>
      <w:bookmarkStart w:id="29" w:name="_Toc26341"/>
      <w:bookmarkStart w:id="30" w:name="_Toc14436"/>
      <w:bookmarkStart w:id="31" w:name="_Toc30620"/>
      <w:bookmarkStart w:id="32" w:name="_Toc3310"/>
      <w:bookmarkStart w:id="33" w:name="_Toc13243"/>
      <w:bookmarkStart w:id="34" w:name="_Toc1519"/>
      <w:bookmarkStart w:id="35" w:name="_Toc18220"/>
      <w:bookmarkStart w:id="36" w:name="_Toc9470"/>
      <w:bookmarkStart w:id="37" w:name="_Toc8600"/>
      <w:bookmarkStart w:id="38" w:name="_Toc32243"/>
      <w:bookmarkStart w:id="39" w:name="_Toc13222"/>
      <w:bookmarkStart w:id="40" w:name="_Toc1082"/>
      <w:bookmarkStart w:id="41" w:name="_Toc25462"/>
      <w:bookmarkStart w:id="42" w:name="_Toc18753"/>
      <w:r>
        <w:rPr>
          <w:rFonts w:hint="eastAsia" w:ascii="Times New Roman" w:hAnsi="Times New Roman" w:eastAsia="方正小标宋_GBK"/>
          <w:kern w:val="0"/>
          <w:sz w:val="44"/>
          <w:szCs w:val="44"/>
        </w:rPr>
        <w:t>专项规划</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Times New Roman" w:hAnsi="Times New Roman" w:eastAsia="方正小标宋_GBK"/>
          <w:color w:val="000000"/>
          <w:spacing w:val="-17"/>
          <w:kern w:val="0"/>
          <w:sz w:val="44"/>
          <w:szCs w:val="44"/>
        </w:rPr>
        <w:t>的通知</w:t>
      </w:r>
    </w:p>
    <w:p>
      <w:pPr>
        <w:widowControl/>
        <w:spacing w:line="530" w:lineRule="exact"/>
        <w:jc w:val="center"/>
        <w:rPr>
          <w:rFonts w:ascii="Times New Roman" w:hAnsi="Times New Roman" w:eastAsia="方正小标宋_GBK"/>
          <w:kern w:val="0"/>
          <w:sz w:val="44"/>
          <w:szCs w:val="44"/>
        </w:rPr>
      </w:pPr>
    </w:p>
    <w:p>
      <w:pPr>
        <w:widowControl/>
        <w:spacing w:line="530" w:lineRule="exact"/>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各县</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区人民政府，市各开发区、新区、园区</w:t>
      </w:r>
      <w:r>
        <w:rPr>
          <w:rFonts w:hint="eastAsia" w:ascii="Times New Roman" w:hAnsi="Times New Roman" w:eastAsia="方正仿宋_GBK"/>
          <w:color w:val="000000"/>
          <w:kern w:val="0"/>
          <w:sz w:val="32"/>
          <w:szCs w:val="32"/>
        </w:rPr>
        <w:t>管委会</w:t>
      </w:r>
      <w:r>
        <w:rPr>
          <w:rFonts w:ascii="Times New Roman" w:hAnsi="Times New Roman" w:eastAsia="方正仿宋_GBK"/>
          <w:color w:val="000000"/>
          <w:kern w:val="0"/>
          <w:sz w:val="32"/>
          <w:szCs w:val="32"/>
        </w:rPr>
        <w:t>，市各委</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办</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局，市各直属单位：</w:t>
      </w:r>
    </w:p>
    <w:p>
      <w:pPr>
        <w:widowControl/>
        <w:spacing w:line="53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宿迁市“十四五”公共体育设施提升工程专项规划</w:t>
      </w:r>
      <w:r>
        <w:rPr>
          <w:rFonts w:ascii="Times New Roman" w:hAnsi="Times New Roman" w:eastAsia="方正仿宋_GBK"/>
          <w:color w:val="000000"/>
          <w:kern w:val="0"/>
          <w:sz w:val="32"/>
          <w:szCs w:val="32"/>
        </w:rPr>
        <w:t>》已经市人民政府同意，现印发给你们，请认真组织实施。</w:t>
      </w:r>
    </w:p>
    <w:p>
      <w:pPr>
        <w:widowControl/>
        <w:spacing w:line="630" w:lineRule="exact"/>
        <w:ind w:firstLine="640" w:firstLineChars="200"/>
        <w:rPr>
          <w:rFonts w:ascii="Times New Roman" w:hAnsi="Times New Roman" w:eastAsia="方正仿宋_GBK"/>
          <w:color w:val="000000"/>
          <w:kern w:val="0"/>
          <w:sz w:val="32"/>
          <w:szCs w:val="32"/>
        </w:rPr>
      </w:pPr>
    </w:p>
    <w:p>
      <w:pPr>
        <w:pStyle w:val="17"/>
      </w:pPr>
    </w:p>
    <w:p>
      <w:pPr>
        <w:widowControl/>
        <w:spacing w:line="630" w:lineRule="exact"/>
        <w:ind w:firstLine="640" w:firstLineChars="200"/>
        <w:rPr>
          <w:rFonts w:ascii="Times New Roman" w:hAnsi="Times New Roman" w:eastAsia="方正仿宋_GBK"/>
          <w:color w:val="000000"/>
          <w:kern w:val="0"/>
          <w:sz w:val="32"/>
          <w:szCs w:val="32"/>
        </w:rPr>
      </w:pPr>
    </w:p>
    <w:p>
      <w:pPr>
        <w:widowControl/>
        <w:spacing w:line="530" w:lineRule="exact"/>
        <w:ind w:firstLine="4419" w:firstLineChars="1381"/>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宿迁市人民政府办公室</w:t>
      </w:r>
    </w:p>
    <w:p>
      <w:pPr>
        <w:widowControl/>
        <w:spacing w:line="530" w:lineRule="exact"/>
        <w:ind w:firstLine="4800" w:firstLineChars="15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年</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rPr>
        <w:t>月</w:t>
      </w:r>
      <w:r>
        <w:rPr>
          <w:rFonts w:hint="eastAsia" w:ascii="Times New Roman" w:hAnsi="Times New Roman" w:eastAsia="方正仿宋_GBK"/>
          <w:color w:val="000000"/>
          <w:kern w:val="0"/>
          <w:sz w:val="32"/>
          <w:szCs w:val="32"/>
        </w:rPr>
        <w:t>19</w:t>
      </w:r>
      <w:r>
        <w:rPr>
          <w:rFonts w:ascii="Times New Roman" w:hAnsi="Times New Roman" w:eastAsia="方正仿宋_GBK"/>
          <w:color w:val="000000"/>
          <w:kern w:val="0"/>
          <w:sz w:val="32"/>
          <w:szCs w:val="32"/>
        </w:rPr>
        <w:t>日</w:t>
      </w:r>
    </w:p>
    <w:p>
      <w:pPr>
        <w:pStyle w:val="2"/>
        <w:ind w:firstLine="640"/>
        <w:rPr>
          <w:rFonts w:eastAsia="方正仿宋_GBK"/>
        </w:rPr>
      </w:pPr>
      <w:r>
        <w:rPr>
          <w:rFonts w:hint="eastAsia" w:ascii="Times New Roman" w:hAnsi="Times New Roman" w:eastAsia="方正仿宋_GBK"/>
          <w:color w:val="000000"/>
          <w:kern w:val="0"/>
          <w:szCs w:val="32"/>
        </w:rPr>
        <w:t>（此件公开发布）</w:t>
      </w:r>
    </w:p>
    <w:p>
      <w:pPr>
        <w:rPr>
          <w:rFonts w:ascii="黑体" w:hAnsi="黑体" w:eastAsia="黑体"/>
          <w:sz w:val="32"/>
          <w:szCs w:val="32"/>
        </w:rPr>
        <w:sectPr>
          <w:footerReference r:id="rId3" w:type="default"/>
          <w:pgSz w:w="11906" w:h="16838"/>
          <w:pgMar w:top="2098" w:right="1531" w:bottom="1928" w:left="1531" w:header="851" w:footer="1474" w:gutter="0"/>
          <w:pgNumType w:start="1"/>
          <w:cols w:space="0" w:num="1"/>
          <w:docGrid w:type="lines" w:linePitch="312" w:charSpace="0"/>
        </w:sectPr>
      </w:pPr>
      <w:r>
        <w:rPr>
          <w:sz w:val="32"/>
        </w:rPr>
        <mc:AlternateContent>
          <mc:Choice Requires="wps">
            <w:drawing>
              <wp:anchor distT="0" distB="0" distL="114300" distR="114300" simplePos="0" relativeHeight="251660288" behindDoc="0" locked="0" layoutInCell="1" allowOverlap="1">
                <wp:simplePos x="0" y="0"/>
                <wp:positionH relativeFrom="column">
                  <wp:posOffset>4648835</wp:posOffset>
                </wp:positionH>
                <wp:positionV relativeFrom="paragraph">
                  <wp:posOffset>1540510</wp:posOffset>
                </wp:positionV>
                <wp:extent cx="1175385" cy="446405"/>
                <wp:effectExtent l="4445" t="4445" r="20320" b="6350"/>
                <wp:wrapNone/>
                <wp:docPr id="10" name="文本框 10"/>
                <wp:cNvGraphicFramePr/>
                <a:graphic xmlns:a="http://schemas.openxmlformats.org/drawingml/2006/main">
                  <a:graphicData uri="http://schemas.microsoft.com/office/word/2010/wordprocessingShape">
                    <wps:wsp>
                      <wps:cNvSpPr txBox="1"/>
                      <wps:spPr>
                        <a:xfrm>
                          <a:off x="5621020" y="9486900"/>
                          <a:ext cx="1175385" cy="4464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05pt;margin-top:121.3pt;height:35.15pt;width:92.55pt;z-index:251660288;mso-width-relative:page;mso-height-relative:page;" fillcolor="#FFFFFF [3201]" filled="t" stroked="t" coordsize="21600,21600" o:gfxdata="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4ne67aAAAACwEAAA8AAAAAAAAAAQAgAAAAIgAAAGRycy9kb3ducmV2LnhtbFBLAQIUABQAAAAI&#10;AIdO4kCU8BcOXQIAAMYEAAAOAAAAAAAAAAEAIAAAACkBAABkcnMvZTJvRG9jLnhtbFBLBQYAAAAA&#10;BgAGAFkBAAD4BQAAAAA=&#10;">
                <v:fill on="t" focussize="0,0"/>
                <v:stroke weight="0.5pt" color="#FFFFFF [3212]" joinstyle="round"/>
                <v:imagedata o:title=""/>
                <o:lock v:ext="edit" aspectratio="f"/>
                <v:textbox>
                  <w:txbxContent>
                    <w:p/>
                  </w:txbxContent>
                </v:textbox>
              </v:shape>
            </w:pict>
          </mc:Fallback>
        </mc:AlternateContent>
      </w:r>
    </w:p>
    <w:p>
      <w:pPr>
        <w:spacing w:line="580" w:lineRule="exact"/>
        <w:jc w:val="center"/>
        <w:rPr>
          <w:rFonts w:ascii="Times New Roman" w:hAnsi="Times New Roman" w:eastAsia="方正小标宋_GBK"/>
          <w:color w:val="000000" w:themeColor="text1"/>
          <w:spacing w:val="-11"/>
          <w:sz w:val="44"/>
          <w:szCs w:val="44"/>
          <w14:textFill>
            <w14:solidFill>
              <w14:schemeClr w14:val="tx1"/>
            </w14:solidFill>
          </w14:textFill>
        </w:rPr>
      </w:pPr>
      <w:bookmarkStart w:id="43" w:name="_Toc6965"/>
      <w:bookmarkStart w:id="44" w:name="_Toc28282"/>
      <w:bookmarkStart w:id="45" w:name="_Toc17919"/>
    </w:p>
    <w:p>
      <w:pPr>
        <w:spacing w:line="580" w:lineRule="exact"/>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宿迁市“十四五”公共体育设施</w:t>
      </w:r>
    </w:p>
    <w:p>
      <w:pPr>
        <w:spacing w:line="580" w:lineRule="exact"/>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提升工程专项规划</w:t>
      </w:r>
    </w:p>
    <w:p>
      <w:pPr>
        <w:spacing w:line="58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p>
    <w:p>
      <w:pPr>
        <w:spacing w:line="58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第一章  总  则</w:t>
      </w:r>
      <w:bookmarkEnd w:id="43"/>
      <w:bookmarkEnd w:id="44"/>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46" w:name="_Toc6116"/>
      <w:bookmarkStart w:id="47" w:name="_Toc22543"/>
      <w:r>
        <w:rPr>
          <w:rFonts w:hint="eastAsia" w:ascii="方正楷体_GBK" w:hAnsi="方正楷体_GBK" w:eastAsia="方正楷体_GBK" w:cs="方正楷体_GBK"/>
          <w:color w:val="000000" w:themeColor="text1"/>
          <w:sz w:val="32"/>
          <w:szCs w:val="32"/>
          <w14:textFill>
            <w14:solidFill>
              <w14:schemeClr w14:val="tx1"/>
            </w14:solidFill>
          </w14:textFill>
        </w:rPr>
        <w:t>第一节  规划背景</w:t>
      </w:r>
      <w:bookmarkEnd w:id="46"/>
      <w:bookmarkEnd w:id="47"/>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一、发展成效</w:t>
      </w:r>
      <w:bookmarkEnd w:id="45"/>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十三五”期间，宿迁市中心城市公共体育设施的建设取得了显著成效。2016年建成宿迁市水上运动中心，2018年建成宿迁奥体中心；宿城区、宿豫区均建有区级文体中心；镇（街道）级多功能运动场覆盖率为100%，达标率为95%以上。市、区两级公共体育设施配置较为完善，至“十三五”期末中心城市人均体育场地面积达3.88平方米。体育服务综合体、自驾（房车）露营地等产业项目逐步发展。总体来说，宿迁市中心城市公共体育设施体系已具备一定基础。</w:t>
      </w:r>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48" w:name="_Toc32729"/>
      <w:r>
        <w:rPr>
          <w:rFonts w:hint="eastAsia" w:ascii="方正黑体_GBK" w:hAnsi="方正黑体_GBK" w:eastAsia="方正黑体_GBK" w:cs="方正黑体_GBK"/>
          <w:bCs/>
          <w:color w:val="000000" w:themeColor="text1"/>
          <w:sz w:val="32"/>
          <w:szCs w:val="32"/>
          <w14:textFill>
            <w14:solidFill>
              <w14:schemeClr w14:val="tx1"/>
            </w14:solidFill>
          </w14:textFill>
        </w:rPr>
        <w:t>二、存在不足</w:t>
      </w:r>
      <w:bookmarkEnd w:id="48"/>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是体育设施体系有待梳理完善。缺乏对公共体育设施功能、布局体系的规范及梳理。二是城市可利用地未能进一步挖掘。对于城市金角银边、废旧厂房以及其他公共用地利用不充分。三是城市体育空间构建亟待创新。缺乏对城市体育立体空间的创新以及对于未来城市体育场景的构建。四是智能化停留在体育器材层面。智能化、智慧化体育场地设施以及体育场地信息管理服务系统仍需进一步完善。五是缺乏社会力量参与。体育场地设施建设仍以政府为主，未能有效调动社会力量参与体育场地设施的投资运营。</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49" w:name="_Toc10836"/>
      <w:bookmarkStart w:id="50" w:name="_Toc9492"/>
      <w:r>
        <w:rPr>
          <w:rFonts w:hint="eastAsia" w:ascii="方正楷体_GBK" w:hAnsi="方正楷体_GBK" w:eastAsia="方正楷体_GBK" w:cs="方正楷体_GBK"/>
          <w:color w:val="000000" w:themeColor="text1"/>
          <w:sz w:val="32"/>
          <w:szCs w:val="32"/>
          <w14:textFill>
            <w14:solidFill>
              <w14:schemeClr w14:val="tx1"/>
            </w14:solidFill>
          </w14:textFill>
        </w:rPr>
        <w:t xml:space="preserve">第二节 </w:t>
      </w:r>
      <w:bookmarkEnd w:id="49"/>
      <w:r>
        <w:rPr>
          <w:rFonts w:hint="eastAsia" w:ascii="方正楷体_GBK" w:hAnsi="方正楷体_GBK" w:eastAsia="方正楷体_GBK" w:cs="方正楷体_GBK"/>
          <w:color w:val="000000" w:themeColor="text1"/>
          <w:sz w:val="32"/>
          <w:szCs w:val="32"/>
          <w14:textFill>
            <w14:solidFill>
              <w14:schemeClr w14:val="tx1"/>
            </w14:solidFill>
          </w14:textFill>
        </w:rPr>
        <w:t xml:space="preserve"> 发展形势</w:t>
      </w:r>
      <w:bookmarkEnd w:id="50"/>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51" w:name="_Toc4773"/>
      <w:r>
        <w:rPr>
          <w:rFonts w:hint="eastAsia" w:ascii="方正黑体_GBK" w:hAnsi="方正黑体_GBK" w:eastAsia="方正黑体_GBK" w:cs="方正黑体_GBK"/>
          <w:bCs/>
          <w:color w:val="000000" w:themeColor="text1"/>
          <w:sz w:val="32"/>
          <w:szCs w:val="32"/>
          <w14:textFill>
            <w14:solidFill>
              <w14:schemeClr w14:val="tx1"/>
            </w14:solidFill>
          </w14:textFill>
        </w:rPr>
        <w:t>一、发展机遇</w:t>
      </w:r>
      <w:bookmarkEnd w:id="51"/>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在全面建成小康社会的时代基础上，广大人民的物质生活水平得到了极大的提高，对于健康生活的需求日益增加。同时，在国内大循环和国内国际双循环的共同作用下，体育产业也将成为新的经济增长点，国民经济支柱型产业，体育产业配套服务设施具有极大的提升空间。广大群众对于更高水平公共体育服务的需求为公共体育设施体系的“硬件建设”和“软件配套”的发展提出了新的要求，也提供了新的契机。</w:t>
      </w:r>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52" w:name="_Toc11458"/>
      <w:r>
        <w:rPr>
          <w:rFonts w:hint="eastAsia" w:ascii="方正黑体_GBK" w:hAnsi="方正黑体_GBK" w:eastAsia="方正黑体_GBK" w:cs="方正黑体_GBK"/>
          <w:bCs/>
          <w:color w:val="000000" w:themeColor="text1"/>
          <w:sz w:val="32"/>
          <w:szCs w:val="32"/>
          <w14:textFill>
            <w14:solidFill>
              <w14:schemeClr w14:val="tx1"/>
            </w14:solidFill>
          </w14:textFill>
        </w:rPr>
        <w:t>二、面临挑战</w:t>
      </w:r>
      <w:bookmarkEnd w:id="52"/>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新冠疫情”常态化防控对室内外公共体育设施的提升和创新发展均提出了更高的要求。如何能够完善基本公共体育设施体系，优化体育设施服务供给，加强城乡体育设施建设和维护管理，促进城乡公共体育设施更加公平可及，进一步解决“群众健身去哪儿”这一难题，促进基本公共体育服务均等化以及体育产业发展，成为“十四五”期间公共体育设施发展面临的重要挑战。</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53" w:name="_Toc13562"/>
      <w:bookmarkStart w:id="54" w:name="_Toc9517"/>
      <w:r>
        <w:rPr>
          <w:rFonts w:hint="eastAsia" w:ascii="方正楷体_GBK" w:hAnsi="方正楷体_GBK" w:eastAsia="方正楷体_GBK" w:cs="方正楷体_GBK"/>
          <w:color w:val="000000" w:themeColor="text1"/>
          <w:sz w:val="32"/>
          <w:szCs w:val="32"/>
          <w14:textFill>
            <w14:solidFill>
              <w14:schemeClr w14:val="tx1"/>
            </w14:solidFill>
          </w14:textFill>
        </w:rPr>
        <w:t>第三节  规划范围</w:t>
      </w:r>
      <w:bookmarkEnd w:id="53"/>
      <w:bookmarkEnd w:id="54"/>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规划范围为宿迁市中心城市，主要包括宿城区、宿豫区、宿迁经济开发区、市湖滨新区、市洋河新区、苏宿工业园区，共2085平方公里。</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55" w:name="_Toc23385"/>
      <w:bookmarkStart w:id="56" w:name="_Toc26583"/>
      <w:r>
        <w:rPr>
          <w:rFonts w:hint="eastAsia" w:ascii="方正楷体_GBK" w:hAnsi="方正楷体_GBK" w:eastAsia="方正楷体_GBK" w:cs="方正楷体_GBK"/>
          <w:color w:val="000000" w:themeColor="text1"/>
          <w:sz w:val="32"/>
          <w:szCs w:val="32"/>
          <w14:textFill>
            <w14:solidFill>
              <w14:schemeClr w14:val="tx1"/>
            </w14:solidFill>
          </w14:textFill>
        </w:rPr>
        <w:t>第四节  主要编制依据</w:t>
      </w:r>
      <w:bookmarkEnd w:id="55"/>
      <w:bookmarkEnd w:id="56"/>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57" w:name="_Toc23437"/>
      <w:r>
        <w:rPr>
          <w:rFonts w:hint="eastAsia" w:ascii="方正黑体_GBK" w:hAnsi="方正黑体_GBK" w:eastAsia="方正黑体_GBK" w:cs="方正黑体_GBK"/>
          <w:bCs/>
          <w:color w:val="000000" w:themeColor="text1"/>
          <w:sz w:val="32"/>
          <w:szCs w:val="32"/>
          <w14:textFill>
            <w14:solidFill>
              <w14:schemeClr w14:val="tx1"/>
            </w14:solidFill>
          </w14:textFill>
        </w:rPr>
        <w:t>一、国家政策及法规</w:t>
      </w:r>
      <w:bookmarkEnd w:id="57"/>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 《中华人民共和国国民经济和社会发展第十四个五年规划和2035年远景目标纲要》；</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 《“健康中国2030”规划纲要》；</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 《体育强国建设纲要》；</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4. 《全民健身计划2021-2025年》；</w:t>
      </w:r>
    </w:p>
    <w:p>
      <w:pPr>
        <w:pStyle w:val="6"/>
        <w:spacing w:after="0"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5. 《关于加强全民健身场地设施建设发展群众体育的意见》；</w:t>
      </w:r>
    </w:p>
    <w:p>
      <w:pPr>
        <w:pStyle w:val="6"/>
        <w:spacing w:after="0"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6. 《“十四五”体育发展规划》；</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7. 《“十四五”时期全民健身设施补短板工程实施方案》；</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8. 《国家基本公共服务标准（2021年版）》；</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9. 《加大力度推动社会领域公共服务补短板强弱项提质量促进形成强大国内市场的行动方案》。</w:t>
      </w:r>
    </w:p>
    <w:p>
      <w:pPr>
        <w:spacing w:line="58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58" w:name="_Toc20220"/>
      <w:r>
        <w:rPr>
          <w:rFonts w:hint="eastAsia" w:ascii="方正黑体_GBK" w:hAnsi="方正黑体_GBK" w:eastAsia="方正黑体_GBK" w:cs="方正黑体_GBK"/>
          <w:bCs/>
          <w:color w:val="000000" w:themeColor="text1"/>
          <w:sz w:val="32"/>
          <w:szCs w:val="32"/>
          <w14:textFill>
            <w14:solidFill>
              <w14:schemeClr w14:val="tx1"/>
            </w14:solidFill>
          </w14:textFill>
        </w:rPr>
        <w:t>二、地方政策及要求</w:t>
      </w:r>
      <w:bookmarkEnd w:id="58"/>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 《江苏省国民经济和社会发展第十四个五年规划和二〇三五年远景目标纲要》；</w:t>
      </w:r>
    </w:p>
    <w:p>
      <w:pPr>
        <w:pStyle w:val="6"/>
        <w:spacing w:after="0"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 《江苏省全民健身实施计划（2021-2025年）》；</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 《江苏体育发展“十四五”规划》；</w:t>
      </w:r>
    </w:p>
    <w:p>
      <w:pPr>
        <w:pStyle w:val="6"/>
        <w:spacing w:after="0" w:line="580" w:lineRule="exact"/>
        <w:ind w:firstLine="640" w:firstLineChars="200"/>
        <w:rPr>
          <w:rFonts w:ascii="方正仿宋_GBK" w:hAnsi="方正仿宋_GBK" w:eastAsia="方正仿宋_GBK" w:cs="方正仿宋_GBK"/>
          <w:bCs/>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4. 《江苏省“十四五”全民健身场地设施补短板整体解决方案》；</w:t>
      </w:r>
    </w:p>
    <w:p>
      <w:pPr>
        <w:pStyle w:val="6"/>
        <w:spacing w:after="0" w:line="580" w:lineRule="exact"/>
        <w:ind w:firstLine="640" w:firstLineChars="200"/>
        <w:rPr>
          <w:rFonts w:ascii="方正仿宋_GBK" w:hAnsi="方正仿宋_GBK" w:eastAsia="方正仿宋_GBK" w:cs="方正仿宋_GBK"/>
          <w:bCs/>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5. 《江苏省贯彻体育强国建设纲要实施方案》；</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6. 《宿迁市国民经济和社会发展第十四个五年规划和二〇三五年远景目标纲要》。</w:t>
      </w:r>
    </w:p>
    <w:p>
      <w:pPr>
        <w:spacing w:line="580" w:lineRule="exact"/>
        <w:ind w:firstLine="640" w:firstLineChars="200"/>
        <w:outlineLvl w:val="2"/>
        <w:rPr>
          <w:rFonts w:ascii="方正黑体_GBK" w:hAnsi="方正黑体_GBK" w:eastAsia="方正黑体_GBK" w:cs="方正黑体_GBK"/>
          <w:bCs/>
          <w:color w:val="FF0000"/>
          <w:sz w:val="32"/>
          <w:szCs w:val="32"/>
        </w:rPr>
      </w:pPr>
      <w:bookmarkStart w:id="59" w:name="_Toc17384"/>
      <w:r>
        <w:rPr>
          <w:rFonts w:hint="eastAsia" w:ascii="方正黑体_GBK" w:hAnsi="方正黑体_GBK" w:eastAsia="方正黑体_GBK" w:cs="方正黑体_GBK"/>
          <w:bCs/>
          <w:color w:val="000000" w:themeColor="text1"/>
          <w:sz w:val="32"/>
          <w:szCs w:val="32"/>
          <w14:textFill>
            <w14:solidFill>
              <w14:schemeClr w14:val="tx1"/>
            </w14:solidFill>
          </w14:textFill>
        </w:rPr>
        <w:t>三、技术标准</w:t>
      </w:r>
      <w:bookmarkEnd w:id="59"/>
      <w:r>
        <w:rPr>
          <w:rFonts w:hint="eastAsia" w:ascii="方正黑体_GBK" w:hAnsi="方正黑体_GBK" w:eastAsia="方正黑体_GBK" w:cs="方正黑体_GBK"/>
          <w:bCs/>
          <w:color w:val="000000" w:themeColor="text1"/>
          <w:sz w:val="32"/>
          <w:szCs w:val="32"/>
          <w14:textFill>
            <w14:solidFill>
              <w14:schemeClr w14:val="tx1"/>
            </w14:solidFill>
          </w14:textFill>
        </w:rPr>
        <w:t>及规范</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 《城市用地分类与规划建设用地标准》；</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 《城市居住区规划设计标准》；</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 《城市公共设施规划规范》；</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4. 《公园设计规范》；</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5. 《全民健身活动中心分类配置要求》；</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6. 《城市社区多功能公共运动场配置要求》；</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7. 《全民健身活动中心管理服务要求》；</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8. 《体育建筑设计规范》；</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9. 《江苏省公共体育设施基本标准》；</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10. 《城市公共体育运动设施用地定额指标暂行规定》。</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60" w:name="_Toc12468"/>
      <w:bookmarkStart w:id="61" w:name="_Toc27731"/>
      <w:r>
        <w:rPr>
          <w:rFonts w:hint="eastAsia" w:ascii="方正楷体_GBK" w:hAnsi="方正楷体_GBK" w:eastAsia="方正楷体_GBK" w:cs="方正楷体_GBK"/>
          <w:color w:val="000000" w:themeColor="text1"/>
          <w:sz w:val="32"/>
          <w:szCs w:val="32"/>
          <w14:textFill>
            <w14:solidFill>
              <w14:schemeClr w14:val="tx1"/>
            </w14:solidFill>
          </w14:textFill>
        </w:rPr>
        <w:t>第五节  规划期限</w:t>
      </w:r>
      <w:bookmarkEnd w:id="60"/>
      <w:bookmarkEnd w:id="61"/>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本次规划期限为2021年至2025年，远期展望至2035年。</w:t>
      </w:r>
    </w:p>
    <w:p>
      <w:pPr>
        <w:pStyle w:val="5"/>
        <w:keepNext w:val="0"/>
        <w:keepLines w:val="0"/>
        <w:numPr>
          <w:ilvl w:val="0"/>
          <w:numId w:val="0"/>
        </w:numPr>
        <w:spacing w:before="0" w:after="0" w:line="580" w:lineRule="exact"/>
        <w:jc w:val="center"/>
        <w:rPr>
          <w:rFonts w:ascii="方正黑体_GBK" w:hAnsi="方正黑体_GBK" w:eastAsia="方正黑体_GBK" w:cs="方正黑体_GBK"/>
          <w:b w:val="0"/>
          <w:bCs/>
          <w:color w:val="000000" w:themeColor="text1"/>
          <w:sz w:val="32"/>
          <w:szCs w:val="32"/>
          <w14:textFill>
            <w14:solidFill>
              <w14:schemeClr w14:val="tx1"/>
            </w14:solidFill>
          </w14:textFill>
        </w:rPr>
      </w:pPr>
      <w:bookmarkStart w:id="62" w:name="_Toc14126"/>
      <w:bookmarkStart w:id="63" w:name="_Toc14914"/>
      <w:r>
        <w:rPr>
          <w:rFonts w:hint="eastAsia" w:ascii="方正黑体_GBK" w:hAnsi="方正黑体_GBK" w:eastAsia="方正黑体_GBK" w:cs="方正黑体_GBK"/>
          <w:b w:val="0"/>
          <w:bCs/>
          <w:color w:val="000000" w:themeColor="text1"/>
          <w:sz w:val="32"/>
          <w:szCs w:val="32"/>
          <w14:textFill>
            <w14:solidFill>
              <w14:schemeClr w14:val="tx1"/>
            </w14:solidFill>
          </w14:textFill>
        </w:rPr>
        <w:t>第二章  总体要求</w:t>
      </w:r>
      <w:bookmarkEnd w:id="62"/>
      <w:bookmarkEnd w:id="63"/>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64" w:name="_Toc31122"/>
      <w:bookmarkStart w:id="65" w:name="_Toc12368"/>
      <w:r>
        <w:rPr>
          <w:rFonts w:hint="eastAsia" w:ascii="方正楷体_GBK" w:hAnsi="方正楷体_GBK" w:eastAsia="方正楷体_GBK" w:cs="方正楷体_GBK"/>
          <w:color w:val="000000" w:themeColor="text1"/>
          <w:sz w:val="32"/>
          <w:szCs w:val="32"/>
          <w14:textFill>
            <w14:solidFill>
              <w14:schemeClr w14:val="tx1"/>
            </w14:solidFill>
          </w14:textFill>
        </w:rPr>
        <w:t>第一节  指导思想</w:t>
      </w:r>
      <w:bookmarkEnd w:id="64"/>
      <w:bookmarkEnd w:id="65"/>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以习近平新时代中国特色社会主义思想为指导，贯彻党的十九大和十九届历次</w:t>
      </w:r>
      <w:bookmarkStart w:id="117" w:name="_GoBack"/>
      <w:bookmarkEnd w:id="117"/>
      <w:r>
        <w:rPr>
          <w:rFonts w:hint="eastAsia" w:ascii="方正仿宋_GBK" w:hAnsi="方正仿宋_GBK" w:eastAsia="方正仿宋_GBK" w:cs="方正仿宋_GBK"/>
          <w:bCs/>
          <w:color w:val="000000" w:themeColor="text1"/>
          <w:sz w:val="32"/>
          <w:szCs w:val="32"/>
          <w14:textFill>
            <w14:solidFill>
              <w14:schemeClr w14:val="tx1"/>
            </w14:solidFill>
          </w14:textFill>
        </w:rPr>
        <w:t>全会精神，落实习近平总书记关于体育工作系列重要讲话和批示精神，深刻领会习近平总书记视察江苏时的重要讲话精神。坚持以人民为中心，坚持新发展理念，以深化体育设施</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供给侧结构性改革</w:t>
      </w:r>
      <w:r>
        <w:rPr>
          <w:rFonts w:hint="eastAsia" w:ascii="方正仿宋_GBK" w:hAnsi="方正仿宋_GBK" w:eastAsia="方正仿宋_GBK" w:cs="方正仿宋_GBK"/>
          <w:bCs/>
          <w:color w:val="000000" w:themeColor="text1"/>
          <w:sz w:val="32"/>
          <w:szCs w:val="32"/>
          <w14:textFill>
            <w14:solidFill>
              <w14:schemeClr w14:val="tx1"/>
            </w14:solidFill>
          </w14:textFill>
        </w:rPr>
        <w:t>为主线，以推动体育场地设施高质量发展为主题，扎实落实健康中国和全民健身国家战略，以建设体育强市为目标，着力构建更高水平的公共体育设施体系。按照高质量、全覆盖、可持续的要求合理配置体育设施资源，激发市场主体活力，促进实现基本公共体育服务均等化。</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66" w:name="_Toc3704"/>
      <w:bookmarkStart w:id="67" w:name="_Toc32423"/>
      <w:r>
        <w:rPr>
          <w:rFonts w:hint="eastAsia" w:ascii="方正楷体_GBK" w:hAnsi="方正楷体_GBK" w:eastAsia="方正楷体_GBK" w:cs="方正楷体_GBK"/>
          <w:color w:val="000000" w:themeColor="text1"/>
          <w:sz w:val="32"/>
          <w:szCs w:val="32"/>
          <w14:textFill>
            <w14:solidFill>
              <w14:schemeClr w14:val="tx1"/>
            </w14:solidFill>
          </w14:textFill>
        </w:rPr>
        <w:t>第二节  规划原则</w:t>
      </w:r>
      <w:bookmarkEnd w:id="66"/>
      <w:bookmarkEnd w:id="67"/>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——以人为本，绿色低碳。</w:t>
      </w:r>
      <w:r>
        <w:rPr>
          <w:rFonts w:hint="eastAsia" w:ascii="方正仿宋_GBK" w:hAnsi="方正仿宋_GBK" w:eastAsia="方正仿宋_GBK" w:cs="方正仿宋_GBK"/>
          <w:bCs/>
          <w:color w:val="000000" w:themeColor="text1"/>
          <w:sz w:val="32"/>
          <w:szCs w:val="32"/>
          <w14:textFill>
            <w14:solidFill>
              <w14:schemeClr w14:val="tx1"/>
            </w14:solidFill>
          </w14:textFill>
        </w:rPr>
        <w:t>坚持“以人为本”这一基本原则，优先布局广大群众喜闻乐见的室外多功能体育场地设施。体育场地设施的规划设计应秉承绿色低碳的原则，与宿迁市生态城市概念有机结合。</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——兼容并包，融合发展。</w:t>
      </w:r>
      <w:r>
        <w:rPr>
          <w:rFonts w:hint="eastAsia" w:ascii="方正仿宋_GBK" w:hAnsi="方正仿宋_GBK" w:eastAsia="方正仿宋_GBK" w:cs="方正仿宋_GBK"/>
          <w:bCs/>
          <w:color w:val="000000" w:themeColor="text1"/>
          <w:sz w:val="32"/>
          <w:szCs w:val="32"/>
          <w14:textFill>
            <w14:solidFill>
              <w14:schemeClr w14:val="tx1"/>
            </w14:solidFill>
          </w14:textFill>
        </w:rPr>
        <w:t>一是有效改造和提升现有存量场地设施，鼓励开发存量用地，扩展城市体育空间。二是倡导公共体育设施与文化、教育、娱乐、城市公园等设施兼容。</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——统筹兼顾，讲求实效。</w:t>
      </w:r>
      <w:r>
        <w:rPr>
          <w:rFonts w:hint="eastAsia" w:ascii="方正仿宋_GBK" w:hAnsi="方正仿宋_GBK" w:eastAsia="方正仿宋_GBK" w:cs="方正仿宋_GBK"/>
          <w:bCs/>
          <w:color w:val="000000" w:themeColor="text1"/>
          <w:sz w:val="32"/>
          <w:szCs w:val="32"/>
          <w14:textFill>
            <w14:solidFill>
              <w14:schemeClr w14:val="tx1"/>
            </w14:solidFill>
          </w14:textFill>
        </w:rPr>
        <w:t xml:space="preserve">统筹规划各类体育设施布局，兼顾基本和非基本公共体育设施。根据实际情况，改造、提升、新建一批室内外体育场地设施，使得改造提升的体育场地设施切实用于群众的日常健身活动。 </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——政府引导，多方参与。</w:t>
      </w:r>
      <w:r>
        <w:rPr>
          <w:rFonts w:hint="eastAsia" w:ascii="方正仿宋_GBK" w:hAnsi="方正仿宋_GBK" w:eastAsia="方正仿宋_GBK" w:cs="方正仿宋_GBK"/>
          <w:bCs/>
          <w:color w:val="000000" w:themeColor="text1"/>
          <w:sz w:val="32"/>
          <w:szCs w:val="32"/>
          <w14:textFill>
            <w14:solidFill>
              <w14:schemeClr w14:val="tx1"/>
            </w14:solidFill>
          </w14:textFill>
        </w:rPr>
        <w:t>发挥政府的顶层设计和财政资金的引导作用，增强政策支持，培育体育消费市场，综合多渠道资金投入公共体育服务设施的建设、运营和维护中。</w:t>
      </w:r>
    </w:p>
    <w:p>
      <w:pPr>
        <w:spacing w:line="58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68" w:name="_Toc11442"/>
      <w:bookmarkStart w:id="69" w:name="_Toc2077"/>
      <w:r>
        <w:rPr>
          <w:rFonts w:hint="eastAsia" w:ascii="方正楷体_GBK" w:hAnsi="方正楷体_GBK" w:eastAsia="方正楷体_GBK" w:cs="方正楷体_GBK"/>
          <w:color w:val="000000" w:themeColor="text1"/>
          <w:sz w:val="32"/>
          <w:szCs w:val="32"/>
          <w14:textFill>
            <w14:solidFill>
              <w14:schemeClr w14:val="tx1"/>
            </w14:solidFill>
          </w14:textFill>
        </w:rPr>
        <w:t xml:space="preserve">第三节 </w:t>
      </w:r>
      <w:bookmarkEnd w:id="68"/>
      <w:r>
        <w:rPr>
          <w:rFonts w:hint="eastAsia" w:ascii="方正楷体_GBK" w:hAnsi="方正楷体_GBK" w:eastAsia="方正楷体_GBK" w:cs="方正楷体_GBK"/>
          <w:color w:val="000000" w:themeColor="text1"/>
          <w:sz w:val="32"/>
          <w:szCs w:val="32"/>
          <w14:textFill>
            <w14:solidFill>
              <w14:schemeClr w14:val="tx1"/>
            </w14:solidFill>
          </w14:textFill>
        </w:rPr>
        <w:t xml:space="preserve"> 发展目标</w:t>
      </w:r>
      <w:bookmarkEnd w:id="69"/>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以室外公共体育设施为抓手，推进公共体育设施体系提质增效，实现基本公共体育设施惠及全民。以生态四项赛、宿迁马拉松等重点赛事为切入点，推进体育产业配套基础设施逐步完善，丰富全民健身服务和体育消费产品供给。规划本着分步实施的原则，逐步实现完善的现代化公共体育设施体系。</w:t>
      </w:r>
    </w:p>
    <w:p>
      <w:pPr>
        <w:spacing w:line="58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至2025年形成高质量的市级-区级-基层三层公共体育设施体系，完善基层中镇（街道）级、行政村（社区）级公共体育设施布局，实现公共体育设施在“15分钟社区服务圈”提质增效、“10分钟体育健身圈”提档升级。中心城市人均体育场地面积达到3.90平方米。远期展望至2035年，形成普惠性、均等化的镇（街道）-行政村（社区）-自然村（居住小区）-居住街坊四级基层细化体系，实现“5分钟便民生活圈”以及居住街坊公共体育设施全覆盖。</w:t>
      </w:r>
    </w:p>
    <w:p>
      <w:pPr>
        <w:pStyle w:val="6"/>
        <w:spacing w:line="530" w:lineRule="exact"/>
        <w:jc w:val="center"/>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表1 宿迁市中心城市“十四五”公共体育设施规划目标</w:t>
      </w:r>
    </w:p>
    <w:tbl>
      <w:tblPr>
        <w:tblStyle w:val="14"/>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8"/>
        <w:gridCol w:w="1113"/>
        <w:gridCol w:w="771"/>
        <w:gridCol w:w="763"/>
        <w:gridCol w:w="661"/>
        <w:gridCol w:w="1011"/>
        <w:gridCol w:w="993"/>
        <w:gridCol w:w="137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tblHeader/>
          <w:jc w:val="center"/>
        </w:trPr>
        <w:tc>
          <w:tcPr>
            <w:tcW w:w="428"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序号</w:t>
            </w:r>
          </w:p>
        </w:tc>
        <w:tc>
          <w:tcPr>
            <w:tcW w:w="1113"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指标名称</w:t>
            </w:r>
          </w:p>
        </w:tc>
        <w:tc>
          <w:tcPr>
            <w:tcW w:w="771"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属性</w:t>
            </w:r>
          </w:p>
        </w:tc>
        <w:tc>
          <w:tcPr>
            <w:tcW w:w="763"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指标</w:t>
            </w:r>
          </w:p>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类型</w:t>
            </w:r>
          </w:p>
        </w:tc>
        <w:tc>
          <w:tcPr>
            <w:tcW w:w="661"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单位</w:t>
            </w:r>
          </w:p>
        </w:tc>
        <w:tc>
          <w:tcPr>
            <w:tcW w:w="1011"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中心城市</w:t>
            </w:r>
          </w:p>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“十三五”期末实际</w:t>
            </w:r>
          </w:p>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完成</w:t>
            </w:r>
          </w:p>
        </w:tc>
        <w:tc>
          <w:tcPr>
            <w:tcW w:w="993"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省定市域“十四五”指标</w:t>
            </w:r>
          </w:p>
        </w:tc>
        <w:tc>
          <w:tcPr>
            <w:tcW w:w="1372"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中心城市</w:t>
            </w:r>
          </w:p>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“十四五”规划目标</w:t>
            </w:r>
          </w:p>
        </w:tc>
        <w:tc>
          <w:tcPr>
            <w:tcW w:w="1950" w:type="dxa"/>
            <w:vAlign w:val="center"/>
          </w:tcPr>
          <w:p>
            <w:pPr>
              <w:spacing w:line="28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jc w:val="center"/>
        </w:trPr>
        <w:tc>
          <w:tcPr>
            <w:tcW w:w="428"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111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人均体育</w:t>
            </w:r>
          </w:p>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场地面积</w:t>
            </w:r>
          </w:p>
        </w:tc>
        <w:tc>
          <w:tcPr>
            <w:tcW w:w="77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预期性</w:t>
            </w:r>
          </w:p>
        </w:tc>
        <w:tc>
          <w:tcPr>
            <w:tcW w:w="76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目标</w:t>
            </w:r>
          </w:p>
        </w:tc>
        <w:tc>
          <w:tcPr>
            <w:tcW w:w="661" w:type="dxa"/>
            <w:vAlign w:val="center"/>
          </w:tcPr>
          <w:p>
            <w:pPr>
              <w:spacing w:line="28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平方米</w:t>
            </w:r>
          </w:p>
        </w:tc>
        <w:tc>
          <w:tcPr>
            <w:tcW w:w="101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3.88</w:t>
            </w:r>
          </w:p>
        </w:tc>
        <w:tc>
          <w:tcPr>
            <w:tcW w:w="99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3.6</w:t>
            </w:r>
          </w:p>
        </w:tc>
        <w:tc>
          <w:tcPr>
            <w:tcW w:w="1372"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3.90</w:t>
            </w:r>
          </w:p>
        </w:tc>
        <w:tc>
          <w:tcPr>
            <w:tcW w:w="1950"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1" w:hRule="atLeast"/>
          <w:jc w:val="center"/>
        </w:trPr>
        <w:tc>
          <w:tcPr>
            <w:tcW w:w="428"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111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体育公园</w:t>
            </w:r>
          </w:p>
        </w:tc>
        <w:tc>
          <w:tcPr>
            <w:tcW w:w="77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76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66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01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35</w:t>
            </w:r>
          </w:p>
        </w:tc>
        <w:tc>
          <w:tcPr>
            <w:tcW w:w="99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20</w:t>
            </w:r>
          </w:p>
        </w:tc>
        <w:tc>
          <w:tcPr>
            <w:tcW w:w="1372"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不少于12个</w:t>
            </w:r>
          </w:p>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（新建/改扩建占地面积不低于6万平方米的体育公园至少4个，占地面积不低于4万平方米的体育公园至少4个，镇（街道）级体育公园至少4个）</w:t>
            </w:r>
          </w:p>
        </w:tc>
        <w:tc>
          <w:tcPr>
            <w:tcW w:w="1950" w:type="dxa"/>
            <w:vAlign w:val="center"/>
          </w:tcPr>
          <w:p>
            <w:pPr>
              <w:spacing w:line="28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省定市域“十四五”指标指江苏省制定的宿迁市全域范围“十四五”期间需完成的任务指标。中心城市“十四五”规划目标指宿城区、宿豫区、宿迁经济开发区、市湖滨新区、市市洋河新区、苏宿工业园区六个区域“十四五”期间需完成的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428"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w:t>
            </w:r>
          </w:p>
        </w:tc>
        <w:tc>
          <w:tcPr>
            <w:tcW w:w="111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7"/>
                <w:szCs w:val="21"/>
                <w14:textFill>
                  <w14:solidFill>
                    <w14:schemeClr w14:val="tx1"/>
                  </w14:solidFill>
                </w14:textFill>
              </w:rPr>
              <w:t>行政村（社区）公共体育设施</w:t>
            </w:r>
          </w:p>
        </w:tc>
        <w:tc>
          <w:tcPr>
            <w:tcW w:w="77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76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拥有率</w:t>
            </w:r>
          </w:p>
        </w:tc>
        <w:tc>
          <w:tcPr>
            <w:tcW w:w="66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11"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72.5%</w:t>
            </w:r>
          </w:p>
        </w:tc>
        <w:tc>
          <w:tcPr>
            <w:tcW w:w="993"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100%</w:t>
            </w:r>
          </w:p>
        </w:tc>
        <w:tc>
          <w:tcPr>
            <w:tcW w:w="1372"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100%</w:t>
            </w:r>
          </w:p>
        </w:tc>
        <w:tc>
          <w:tcPr>
            <w:tcW w:w="1950" w:type="dxa"/>
            <w:vAlign w:val="center"/>
          </w:tcPr>
          <w:p>
            <w:pPr>
              <w:spacing w:line="28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8" w:hRule="atLeast"/>
          <w:jc w:val="center"/>
        </w:trPr>
        <w:tc>
          <w:tcPr>
            <w:tcW w:w="428"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111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健身步道</w:t>
            </w:r>
          </w:p>
        </w:tc>
        <w:tc>
          <w:tcPr>
            <w:tcW w:w="77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76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66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公里</w:t>
            </w:r>
          </w:p>
        </w:tc>
        <w:tc>
          <w:tcPr>
            <w:tcW w:w="101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548.32</w:t>
            </w:r>
          </w:p>
        </w:tc>
        <w:tc>
          <w:tcPr>
            <w:tcW w:w="99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150</w:t>
            </w:r>
          </w:p>
        </w:tc>
        <w:tc>
          <w:tcPr>
            <w:tcW w:w="1372"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60</w:t>
            </w:r>
          </w:p>
        </w:tc>
        <w:tc>
          <w:tcPr>
            <w:tcW w:w="1950" w:type="dxa"/>
            <w:vAlign w:val="center"/>
          </w:tcPr>
          <w:p>
            <w:pPr>
              <w:spacing w:line="24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省定市域“十四五”指标指江苏省制定的宿迁市全域范围“十四五”期间需完成的任务指标。中心城市“十</w:t>
            </w:r>
            <w:r>
              <w:rPr>
                <w:rFonts w:hint="eastAsia" w:ascii="方正仿宋_GBK" w:hAnsi="方正仿宋_GBK" w:eastAsia="方正仿宋_GBK" w:cs="方正仿宋_GBK"/>
                <w:color w:val="000000" w:themeColor="text1"/>
                <w:spacing w:val="-6"/>
                <w:szCs w:val="21"/>
                <w14:textFill>
                  <w14:solidFill>
                    <w14:schemeClr w14:val="tx1"/>
                  </w14:solidFill>
                </w14:textFill>
              </w:rPr>
              <w:t>四五”规划目标指宿城区、宿豫区、宿迁经济开发区、市湖滨新区、市洋河新区、苏宿工业园区六个区域“十四五”期间需完成的任务指标。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8"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111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区级、镇（街道）级公共体育设施（新建或改扩建）</w:t>
            </w:r>
          </w:p>
        </w:tc>
        <w:tc>
          <w:tcPr>
            <w:tcW w:w="771" w:type="dxa"/>
            <w:vAlign w:val="center"/>
          </w:tcPr>
          <w:p>
            <w:pPr>
              <w:tabs>
                <w:tab w:val="left" w:pos="305"/>
                <w:tab w:val="center" w:pos="709"/>
              </w:tabs>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预期性</w:t>
            </w:r>
          </w:p>
        </w:tc>
        <w:tc>
          <w:tcPr>
            <w:tcW w:w="76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66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01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99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1372"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195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428"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w:t>
            </w:r>
          </w:p>
        </w:tc>
        <w:tc>
          <w:tcPr>
            <w:tcW w:w="111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中心城市每万人拥有足球场</w:t>
            </w:r>
          </w:p>
        </w:tc>
        <w:tc>
          <w:tcPr>
            <w:tcW w:w="77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预期性</w:t>
            </w:r>
          </w:p>
        </w:tc>
        <w:tc>
          <w:tcPr>
            <w:tcW w:w="76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66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片</w:t>
            </w:r>
          </w:p>
        </w:tc>
        <w:tc>
          <w:tcPr>
            <w:tcW w:w="1011"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1.18</w:t>
            </w:r>
          </w:p>
        </w:tc>
        <w:tc>
          <w:tcPr>
            <w:tcW w:w="993"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1372"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1.2</w:t>
            </w:r>
          </w:p>
        </w:tc>
        <w:tc>
          <w:tcPr>
            <w:tcW w:w="195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bl>
    <w:p>
      <w:pPr>
        <w:pStyle w:val="6"/>
        <w:spacing w:after="0" w:line="340" w:lineRule="exact"/>
        <w:rPr>
          <w:rFonts w:ascii="方正仿宋_GBK" w:hAnsi="方正仿宋_GBK" w:eastAsia="方正仿宋_GBK" w:cs="方正仿宋_GBK"/>
          <w:color w:val="000000" w:themeColor="text1"/>
          <w:sz w:val="22"/>
          <w:szCs w:val="22"/>
          <w14:textFill>
            <w14:solidFill>
              <w14:schemeClr w14:val="tx1"/>
            </w14:solidFill>
          </w14:textFill>
        </w:rPr>
      </w:pPr>
      <w:bookmarkStart w:id="70" w:name="_Toc26940"/>
      <w:bookmarkStart w:id="71" w:name="_Toc31472"/>
      <w:r>
        <w:rPr>
          <w:rFonts w:hint="eastAsia" w:ascii="方正仿宋_GBK" w:hAnsi="方正仿宋_GBK" w:eastAsia="方正仿宋_GBK" w:cs="方正仿宋_GBK"/>
          <w:color w:val="000000" w:themeColor="text1"/>
          <w:sz w:val="22"/>
          <w:szCs w:val="22"/>
          <w14:textFill>
            <w14:solidFill>
              <w14:schemeClr w14:val="tx1"/>
            </w14:solidFill>
          </w14:textFill>
        </w:rPr>
        <w:t>注：约束性指标为必须完成内容，预期性指标为可根据实际情况调整完成目标的内容</w:t>
      </w:r>
    </w:p>
    <w:p>
      <w:pPr>
        <w:pStyle w:val="5"/>
        <w:keepNext w:val="0"/>
        <w:keepLines w:val="0"/>
        <w:numPr>
          <w:ilvl w:val="0"/>
          <w:numId w:val="0"/>
        </w:numPr>
        <w:spacing w:before="156" w:beforeLines="50" w:after="0" w:line="530" w:lineRule="exact"/>
        <w:jc w:val="center"/>
        <w:rPr>
          <w:rFonts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第三章  公共体育设施布局</w:t>
      </w:r>
      <w:r>
        <w:rPr>
          <w:rFonts w:hint="eastAsia" w:ascii="方正黑体_GBK" w:hAnsi="方正黑体_GBK" w:eastAsia="方正黑体_GBK" w:cs="方正黑体_GBK"/>
          <w:b w:val="0"/>
          <w:bCs/>
          <w:sz w:val="32"/>
          <w:szCs w:val="32"/>
        </w:rPr>
        <w:t>体系</w:t>
      </w:r>
      <w:bookmarkEnd w:id="70"/>
      <w:bookmarkEnd w:id="71"/>
    </w:p>
    <w:p>
      <w:pPr>
        <w:spacing w:line="53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72" w:name="_Toc31882"/>
      <w:bookmarkStart w:id="73" w:name="_Toc31416"/>
      <w:r>
        <w:rPr>
          <w:rFonts w:hint="eastAsia" w:ascii="方正楷体_GBK" w:hAnsi="方正楷体_GBK" w:eastAsia="方正楷体_GBK" w:cs="方正楷体_GBK"/>
          <w:color w:val="000000" w:themeColor="text1"/>
          <w:sz w:val="32"/>
          <w:szCs w:val="32"/>
          <w14:textFill>
            <w14:solidFill>
              <w14:schemeClr w14:val="tx1"/>
            </w14:solidFill>
          </w14:textFill>
        </w:rPr>
        <w:t>第一节  中心城市公共体育设施发展总体布局</w:t>
      </w:r>
      <w:bookmarkEnd w:id="72"/>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至2025年，宿迁市中心城市形成“一主三副一环多点”的公共体育设施空间布局结构。根据公共体育设施布局现状及发展空间，宿城区形成全民健身核心区，宿豫区形成体育综合服务先导区，宿迁经济开发区形成智慧体育先行区，市湖滨新区打造为时尚运动活力区，市洋河新区打造为篮球运动特色区，苏宿工业园区形成企业职工全民</w:t>
      </w:r>
      <w:r>
        <w:rPr>
          <w:rFonts w:ascii="方正仿宋_GBK" w:hAnsi="方正仿宋_GBK" w:eastAsia="方正仿宋_GBK" w:cs="方正仿宋_GBK"/>
          <w:bCs/>
          <w:color w:val="000000" w:themeColor="text1"/>
          <w:sz w:val="32"/>
          <w:szCs w:val="32"/>
          <w14:textFill>
            <w14:solidFill>
              <w14:schemeClr w14:val="tx1"/>
            </w14:solidFill>
          </w14:textFill>
        </w:rPr>
        <w:t>健身服务区。</w:t>
      </w:r>
      <w:r>
        <w:rPr>
          <w:rFonts w:hint="eastAsia" w:ascii="方正仿宋_GBK" w:hAnsi="方正仿宋_GBK" w:eastAsia="方正仿宋_GBK" w:cs="方正仿宋_GBK"/>
          <w:bCs/>
          <w:color w:val="000000" w:themeColor="text1"/>
          <w:sz w:val="32"/>
          <w:szCs w:val="32"/>
          <w14:textFill>
            <w14:solidFill>
              <w14:schemeClr w14:val="tx1"/>
            </w14:solidFill>
          </w14:textFill>
        </w:rPr>
        <w:t>各区在完善基本公共体育设施提升的基础上，因地制宜，科学布局多功能多样化体育设施，形成各具特色的宿迁活力主城区。</w:t>
      </w:r>
    </w:p>
    <w:p>
      <w:pPr>
        <w:spacing w:line="49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74" w:name="_Toc20754"/>
      <w:r>
        <w:rPr>
          <w:rFonts w:hint="eastAsia" w:ascii="方正楷体_GBK" w:hAnsi="方正楷体_GBK" w:eastAsia="方正楷体_GBK" w:cs="方正楷体_GBK"/>
          <w:color w:val="000000" w:themeColor="text1"/>
          <w:sz w:val="32"/>
          <w:szCs w:val="32"/>
          <w14:textFill>
            <w14:solidFill>
              <w14:schemeClr w14:val="tx1"/>
            </w14:solidFill>
          </w14:textFill>
        </w:rPr>
        <w:t>第二节  公共体育设施主要功能</w:t>
      </w:r>
      <w:bookmarkEnd w:id="73"/>
      <w:bookmarkEnd w:id="74"/>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为构建更高水平的宿迁市中心城市公共体育服务体系，打造活力城市形象，推动时尚体育城市发展，推进体育强市建设，围绕中心城市体育设施发展，体育设施以全民健身、赛事活动、城市配套功能为基础，以“体育+”融合发展为特色，构建更为完善的宿迁市公共体育设施功能体系。</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75" w:name="_Toc18336"/>
      <w:r>
        <w:rPr>
          <w:rFonts w:hint="eastAsia" w:ascii="方正黑体_GBK" w:hAnsi="方正黑体_GBK" w:eastAsia="方正黑体_GBK" w:cs="方正黑体_GBK"/>
          <w:bCs/>
          <w:color w:val="000000" w:themeColor="text1"/>
          <w:sz w:val="32"/>
          <w:szCs w:val="32"/>
          <w14:textFill>
            <w14:solidFill>
              <w14:schemeClr w14:val="tx1"/>
            </w14:solidFill>
          </w14:textFill>
        </w:rPr>
        <w:t>一、全民健身</w:t>
      </w:r>
      <w:bookmarkEnd w:id="75"/>
      <w:r>
        <w:rPr>
          <w:rFonts w:hint="eastAsia" w:ascii="方正黑体_GBK" w:hAnsi="方正黑体_GBK" w:eastAsia="方正黑体_GBK" w:cs="方正黑体_GBK"/>
          <w:bCs/>
          <w:color w:val="000000" w:themeColor="text1"/>
          <w:sz w:val="32"/>
          <w:szCs w:val="32"/>
          <w14:textFill>
            <w14:solidFill>
              <w14:schemeClr w14:val="tx1"/>
            </w14:solidFill>
          </w14:textFill>
        </w:rPr>
        <w:t>功能</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各层级公共体育设施以全民健身为基本功能，设置各类人群适用的公共体育设施，特别是儿童、老年人和残疾人，以均等化、普惠化的公共体育设施布局理念，直接作用于周边群众，保障广大群众日常体育运动的开展。</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76" w:name="_Toc2460"/>
      <w:r>
        <w:rPr>
          <w:rFonts w:hint="eastAsia" w:ascii="方正黑体_GBK" w:hAnsi="方正黑体_GBK" w:eastAsia="方正黑体_GBK" w:cs="方正黑体_GBK"/>
          <w:bCs/>
          <w:color w:val="000000" w:themeColor="text1"/>
          <w:sz w:val="32"/>
          <w:szCs w:val="32"/>
          <w14:textFill>
            <w14:solidFill>
              <w14:schemeClr w14:val="tx1"/>
            </w14:solidFill>
          </w14:textFill>
        </w:rPr>
        <w:t>二、赛事活动</w:t>
      </w:r>
      <w:bookmarkEnd w:id="76"/>
      <w:r>
        <w:rPr>
          <w:rFonts w:hint="eastAsia" w:ascii="方正黑体_GBK" w:hAnsi="方正黑体_GBK" w:eastAsia="方正黑体_GBK" w:cs="方正黑体_GBK"/>
          <w:bCs/>
          <w:color w:val="000000" w:themeColor="text1"/>
          <w:sz w:val="32"/>
          <w:szCs w:val="32"/>
          <w14:textFill>
            <w14:solidFill>
              <w14:schemeClr w14:val="tx1"/>
            </w14:solidFill>
          </w14:textFill>
        </w:rPr>
        <w:t>功能</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进一步完善宿迁市中心城市公共体育设施承办各类赛事活动的功能，完善承接多样化赛事活动的公共体育设施体系，搭建国际交流平台。</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三、城市配套功能</w:t>
      </w:r>
    </w:p>
    <w:p>
      <w:pPr>
        <w:spacing w:line="53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为进一步完善宿迁市中心城市打造高品质生活宜居城市的理念，体育设施作为广大群众享受健康生活、提升幸福感的重要组成，是完善城市配套服务功能的基础设施，应与城市的建设和发展同步推进。</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四、“体育+”融合发展功能</w:t>
      </w:r>
    </w:p>
    <w:p>
      <w:pPr>
        <w:spacing w:line="53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77" w:name="_Toc671"/>
      <w:r>
        <w:rPr>
          <w:rFonts w:hint="eastAsia" w:ascii="方正仿宋_GBK" w:hAnsi="方正仿宋_GBK" w:eastAsia="方正仿宋_GBK" w:cs="方正仿宋_GBK"/>
          <w:bCs/>
          <w:color w:val="000000" w:themeColor="text1"/>
          <w:sz w:val="32"/>
          <w:szCs w:val="32"/>
          <w14:textFill>
            <w14:solidFill>
              <w14:schemeClr w14:val="tx1"/>
            </w14:solidFill>
          </w14:textFill>
        </w:rPr>
        <w:t>一是</w:t>
      </w:r>
      <w:bookmarkEnd w:id="77"/>
      <w:r>
        <w:rPr>
          <w:rFonts w:hint="eastAsia" w:ascii="方正仿宋_GBK" w:hAnsi="方正仿宋_GBK" w:eastAsia="方正仿宋_GBK" w:cs="方正仿宋_GBK"/>
          <w:bCs/>
          <w:color w:val="000000" w:themeColor="text1"/>
          <w:sz w:val="32"/>
          <w:szCs w:val="32"/>
          <w14:textFill>
            <w14:solidFill>
              <w14:schemeClr w14:val="tx1"/>
            </w14:solidFill>
          </w14:textFill>
        </w:rPr>
        <w:t>“+教育”，扎实推进青少年公共体育服务体系建设，加强非学科类体育技能的学习与实践。二是“+旅游”，以打造体育旅游示范基地为目标，以户外运动为切入点，将体育与旅游相结合。</w:t>
      </w:r>
      <w:bookmarkStart w:id="78" w:name="_Toc6818"/>
      <w:r>
        <w:rPr>
          <w:rFonts w:hint="eastAsia" w:ascii="方正仿宋_GBK" w:hAnsi="方正仿宋_GBK" w:eastAsia="方正仿宋_GBK" w:cs="方正仿宋_GBK"/>
          <w:bCs/>
          <w:color w:val="000000" w:themeColor="text1"/>
          <w:sz w:val="32"/>
          <w:szCs w:val="32"/>
          <w14:textFill>
            <w14:solidFill>
              <w14:schemeClr w14:val="tx1"/>
            </w14:solidFill>
          </w14:textFill>
        </w:rPr>
        <w:t>三是</w:t>
      </w:r>
      <w:bookmarkEnd w:id="78"/>
      <w:r>
        <w:rPr>
          <w:rFonts w:hint="eastAsia" w:ascii="方正仿宋_GBK" w:hAnsi="方正仿宋_GBK" w:eastAsia="方正仿宋_GBK" w:cs="方正仿宋_GBK"/>
          <w:bCs/>
          <w:color w:val="000000" w:themeColor="text1"/>
          <w:sz w:val="32"/>
          <w:szCs w:val="32"/>
          <w14:textFill>
            <w14:solidFill>
              <w14:schemeClr w14:val="tx1"/>
            </w14:solidFill>
          </w14:textFill>
        </w:rPr>
        <w:t>“+康养”，普及适老性体育设施，将体育设施与老年康复、疗养结合</w:t>
      </w:r>
      <w:bookmarkStart w:id="79" w:name="_Toc19768"/>
      <w:r>
        <w:rPr>
          <w:rFonts w:hint="eastAsia" w:ascii="方正仿宋_GBK" w:hAnsi="方正仿宋_GBK" w:eastAsia="方正仿宋_GBK" w:cs="方正仿宋_GBK"/>
          <w:bCs/>
          <w:color w:val="000000" w:themeColor="text1"/>
          <w:sz w:val="32"/>
          <w:szCs w:val="32"/>
          <w14:textFill>
            <w14:solidFill>
              <w14:schemeClr w14:val="tx1"/>
            </w14:solidFill>
          </w14:textFill>
        </w:rPr>
        <w:t>。四是</w:t>
      </w:r>
      <w:bookmarkEnd w:id="79"/>
      <w:r>
        <w:rPr>
          <w:rFonts w:hint="eastAsia" w:ascii="方正仿宋_GBK" w:hAnsi="方正仿宋_GBK" w:eastAsia="方正仿宋_GBK" w:cs="方正仿宋_GBK"/>
          <w:bCs/>
          <w:color w:val="000000" w:themeColor="text1"/>
          <w:sz w:val="32"/>
          <w:szCs w:val="32"/>
          <w14:textFill>
            <w14:solidFill>
              <w14:schemeClr w14:val="tx1"/>
            </w14:solidFill>
          </w14:textFill>
        </w:rPr>
        <w:t>与活力主城概念结合，落实市委市政府“酒都不打烊”夜经济策略中关于体育工作的部署，围绕宿迁马拉松赛道、宿迁城市慢行系统、体育服务综合体以及体育主题公园等设施，发展“城市跑”、“夜跑”、群众性夜间体育赛事、沉浸式观赛体验等时尚体育活动，塑造活力宿迁的新形象。</w:t>
      </w:r>
    </w:p>
    <w:p>
      <w:pPr>
        <w:spacing w:before="156" w:beforeLines="50" w:after="156" w:afterLines="50" w:line="53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80" w:name="_Toc8295"/>
      <w:bookmarkStart w:id="81" w:name="_Toc20691"/>
      <w:r>
        <w:rPr>
          <w:rFonts w:hint="eastAsia" w:ascii="方正楷体_GBK" w:hAnsi="方正楷体_GBK" w:eastAsia="方正楷体_GBK" w:cs="方正楷体_GBK"/>
          <w:color w:val="000000" w:themeColor="text1"/>
          <w:sz w:val="32"/>
          <w:szCs w:val="32"/>
          <w14:textFill>
            <w14:solidFill>
              <w14:schemeClr w14:val="tx1"/>
            </w14:solidFill>
          </w14:textFill>
        </w:rPr>
        <w:t>第三节  中心城市公共体育设施</w:t>
      </w:r>
      <w:bookmarkEnd w:id="80"/>
      <w:r>
        <w:rPr>
          <w:rFonts w:hint="eastAsia" w:ascii="方正楷体_GBK" w:hAnsi="方正楷体_GBK" w:eastAsia="方正楷体_GBK" w:cs="方正楷体_GBK"/>
          <w:color w:val="000000" w:themeColor="text1"/>
          <w:sz w:val="32"/>
          <w:szCs w:val="32"/>
          <w14:textFill>
            <w14:solidFill>
              <w14:schemeClr w14:val="tx1"/>
            </w14:solidFill>
          </w14:textFill>
        </w:rPr>
        <w:t>体系</w:t>
      </w:r>
      <w:bookmarkEnd w:id="81"/>
    </w:p>
    <w:p>
      <w:pPr>
        <w:pStyle w:val="6"/>
        <w:spacing w:after="0" w:line="53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依据宿迁市中心城市当前公共体育设施布局现状，结合城市结构、人口规模和服务半径，形成“三层四级一专项”的体育设施规划体系。并依照城市发展，充分利用金角银边，合理布局多功能体育空间。</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82" w:name="_Toc13588"/>
      <w:r>
        <w:rPr>
          <w:rFonts w:hint="eastAsia" w:ascii="方正黑体_GBK" w:hAnsi="方正黑体_GBK" w:eastAsia="方正黑体_GBK" w:cs="方正黑体_GBK"/>
          <w:bCs/>
          <w:color w:val="000000" w:themeColor="text1"/>
          <w:sz w:val="32"/>
          <w:szCs w:val="32"/>
          <w14:textFill>
            <w14:solidFill>
              <w14:schemeClr w14:val="tx1"/>
            </w14:solidFill>
          </w14:textFill>
        </w:rPr>
        <w:t>一、市级公共体育设施</w:t>
      </w:r>
      <w:bookmarkEnd w:id="82"/>
    </w:p>
    <w:p>
      <w:pPr>
        <w:spacing w:line="530" w:lineRule="exact"/>
        <w:ind w:firstLine="616" w:firstLineChars="200"/>
        <w:jc w:val="left"/>
        <w:rPr>
          <w:rFonts w:ascii="方正仿宋_GBK" w:hAnsi="方正仿宋_GBK" w:eastAsia="方正仿宋_GBK" w:cs="方正仿宋_GBK"/>
          <w:bCs/>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市级公共体育设施服务对象为市域，在市域范围内统筹配置。以竞演赛事和竞技训练为主要功能，满足承办省级综合性运动会和全国及以上单项高水平比赛的需要，同时具备全民健身、体育培训、专业训练、体育产业示范、体育文化交往、商业配套服务等功能。“十四五”期间市级公共体育设施以完善体育公园建设为主。</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83" w:name="_Toc19696"/>
      <w:r>
        <w:rPr>
          <w:rFonts w:hint="eastAsia" w:ascii="方正黑体_GBK" w:hAnsi="方正黑体_GBK" w:eastAsia="方正黑体_GBK" w:cs="方正黑体_GBK"/>
          <w:bCs/>
          <w:color w:val="000000" w:themeColor="text1"/>
          <w:sz w:val="32"/>
          <w:szCs w:val="32"/>
          <w14:textFill>
            <w14:solidFill>
              <w14:schemeClr w14:val="tx1"/>
            </w14:solidFill>
          </w14:textFill>
        </w:rPr>
        <w:t>二、区级公共体育设施</w:t>
      </w:r>
      <w:bookmarkEnd w:id="83"/>
    </w:p>
    <w:p>
      <w:pPr>
        <w:pStyle w:val="26"/>
        <w:spacing w:line="530" w:lineRule="exact"/>
        <w:ind w:firstLine="640"/>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区级公共体育设施服务对象为县（市、区）域，在县（市、区）范围内</w:t>
      </w: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统筹配置。满足承办地区综合性运动会和群众性单项赛事的需要，同时具备全民健身、体育培训、专业训练以及商业配套服务等功能。根据中心城市实际情况，“十四五”期间区级公共体育设施建设以宿豫区体育中心改扩建以及区级体育公园项目为主。</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84" w:name="_Toc11743"/>
      <w:r>
        <w:rPr>
          <w:rFonts w:hint="eastAsia" w:ascii="方正黑体_GBK" w:hAnsi="方正黑体_GBK" w:eastAsia="方正黑体_GBK" w:cs="方正黑体_GBK"/>
          <w:bCs/>
          <w:color w:val="000000" w:themeColor="text1"/>
          <w:sz w:val="32"/>
          <w:szCs w:val="32"/>
          <w14:textFill>
            <w14:solidFill>
              <w14:schemeClr w14:val="tx1"/>
            </w14:solidFill>
          </w14:textFill>
        </w:rPr>
        <w:t>三、基层公共体育设施</w:t>
      </w:r>
      <w:bookmarkEnd w:id="84"/>
    </w:p>
    <w:p>
      <w:pPr>
        <w:pStyle w:val="26"/>
        <w:spacing w:line="530" w:lineRule="exact"/>
        <w:ind w:firstLine="64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基层公共体育设施应按照服务半径和人口规模设置，宜布局在方便、安全、对生活休息干扰小的地段，并应结合居住区内人口结构配置类型多样的体育设施。新建居住区应按标准配置，已建居住区可根据场地情况进行配置。非体育用地中宜兼容设置公共体育设施，并应与公共绿地、文化设施、学校体育场馆统筹布局。“十四五”期间基层公共体育设施以镇（街道）级健身中心以及体育器材配置为主。</w:t>
      </w:r>
    </w:p>
    <w:p>
      <w:pPr>
        <w:pStyle w:val="26"/>
        <w:spacing w:line="530" w:lineRule="exact"/>
        <w:ind w:firstLine="64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镇（街道）级公共体育设施。主要服务对象为镇（街道）域，主要满足全民健身需求。主要服务于15分钟服务圈，服务半径不宜大于1000米。设施类型主要包括全民健身中心、多功能运动场、健身公园等。全民健身中心建筑面积不应小于1000平方米，大型球类场地/多功能运动场用地面积不应小于2000平方米，健身公园陆地面积为2000-5000平方米。鼓励依托现有或新建体育设施建设适宜老年人、青少年、残疾人等特殊人群开展体育活动的场所以及体育服务综合体。</w:t>
      </w:r>
    </w:p>
    <w:p>
      <w:pPr>
        <w:pStyle w:val="26"/>
        <w:spacing w:line="530" w:lineRule="exact"/>
        <w:ind w:firstLine="64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行政村（社区）级公共体育设施。主要服务对象为行政村（社区）域，主要满足全民健身需求。主要服务于10分钟健身圈，服务半径不宜大于500米。设施主要包括体育活动室、多功能运动场和健身公园等。行政村（社区）多功能运动场用地面积不应小于1000平方米，体育公园陆地面积为1000-2000平方米。鼓励依托现有或新建体育设施建设青少年体育辅导站。</w:t>
      </w:r>
    </w:p>
    <w:p>
      <w:pPr>
        <w:pStyle w:val="26"/>
        <w:spacing w:line="530" w:lineRule="exact"/>
        <w:ind w:firstLine="64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自然村（居住小区）级公共体育设施。主要满足自然村（居住小区）居民健身活动的基本需求。主要服务于5分钟生活圈，服务半径不宜大于300米。设施类型主要包括健身广场、室外乒乓台、健身路径等。健身广场面积不应小于150平方米，室外乒乓球场地面积应为40-85平方米，健身路径应配置5件以上。鼓励建设笼式球类场地，可为非标场地。</w:t>
      </w:r>
    </w:p>
    <w:p>
      <w:pPr>
        <w:pStyle w:val="26"/>
        <w:spacing w:line="530" w:lineRule="exact"/>
        <w:ind w:firstLine="64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居住街坊级体育设施。以室外健身器材为主，主要服务于邻里街坊，可与其他服务设施联合设置。</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85" w:name="_Toc21246"/>
      <w:r>
        <w:rPr>
          <w:rFonts w:hint="eastAsia" w:ascii="方正黑体_GBK" w:hAnsi="方正黑体_GBK" w:eastAsia="方正黑体_GBK" w:cs="方正黑体_GBK"/>
          <w:bCs/>
          <w:color w:val="000000" w:themeColor="text1"/>
          <w:sz w:val="32"/>
          <w:szCs w:val="32"/>
          <w14:textFill>
            <w14:solidFill>
              <w14:schemeClr w14:val="tx1"/>
            </w14:solidFill>
          </w14:textFill>
        </w:rPr>
        <w:t>四、户外专项体育设施</w:t>
      </w:r>
      <w:bookmarkEnd w:id="85"/>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为丰富体育产业发展路径、营造全民健身社会氛围，结合宿迁自然生态环境优势，以宿迁市传统户外赛事活动为基础，进一步完善城市健身步道配置，设置户外营地、马拉松赛道、体育服务综合体等运动休闲产业项目。</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公园兼容体育设施。</w:t>
      </w:r>
      <w:bookmarkStart w:id="86" w:name="_Toc1936"/>
      <w:r>
        <w:rPr>
          <w:rFonts w:hint="eastAsia" w:ascii="方正仿宋_GBK" w:hAnsi="方正仿宋_GBK" w:eastAsia="方正仿宋_GBK" w:cs="方正仿宋_GBK"/>
          <w:bCs/>
          <w:color w:val="000000" w:themeColor="text1"/>
          <w:sz w:val="32"/>
          <w:szCs w:val="32"/>
          <w14:textFill>
            <w14:solidFill>
              <w14:schemeClr w14:val="tx1"/>
            </w14:solidFill>
          </w14:textFill>
        </w:rPr>
        <w:t>在与园林景观设计协调的前提下，结合群众日常休闲健身需求，鼓励体育设施与城市各类公园中游憩建筑和服务建筑用地以及园路及铺装场地用地相结合，形成景色和谐、环境优美的新型城市公园。</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健身步道。中心城市健身步道系统可与城市慢行交通系统有机结合，构建“三环一轴”的绿道网络。“三环”为环骆马湖绿道系统、环洪泽湖绿道系统、市域环形绿道,串联沿湖主要景观节点以及游乐场所。“一轴”为古黄河、京杭大运河慢行轴线。</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马拉松赛道。以宿迁马拉松赛道为基础，设置半程马拉松赛道、亲子马拉松赛道，并改造、提升周边相应的配套服务设施、标识标牌系统，着力提升马拉松赛道沿途健身氛围，以“迁马”线路为基础，结合城市慢行体系，打造城市健康活力带。赛道两边应配置安全标示系统，配套服务设施等。</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户外运动设施。围绕宿迁市中心城市现有山地户外资源，以三台山国家森林公园以及骆马湖为核心，以营地为切入点，打造户外时尚运动中心，提升城市体育产业发展的设施基础。</w:t>
      </w:r>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体育服务综合体。利用现有体育场馆及闲置厂房、仓储用房、商服设施等场所，根据群众需求进行策划、设计，改造成为室内外场地结合</w:t>
      </w: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的体育服务综合体。可设置攀岩、小轮车、滑板等时尚运动设施，设婴幼儿体育启蒙、青少年培训、中老年健康等各类型体育服务，为广大群众提供专业化、专属化的体育服务产品，从供给侧完善体育服务结构、提升体育服务水平，打造体育消费中心。</w:t>
      </w:r>
    </w:p>
    <w:p>
      <w:pPr>
        <w:pStyle w:val="5"/>
        <w:keepNext w:val="0"/>
        <w:keepLines w:val="0"/>
        <w:numPr>
          <w:ilvl w:val="0"/>
          <w:numId w:val="0"/>
        </w:numPr>
        <w:spacing w:before="0" w:after="0" w:line="530" w:lineRule="exact"/>
        <w:jc w:val="center"/>
        <w:rPr>
          <w:rFonts w:ascii="方正黑体_GBK" w:hAnsi="方正黑体_GBK" w:eastAsia="方正黑体_GBK" w:cs="方正黑体_GBK"/>
          <w:b w:val="0"/>
          <w:bCs/>
          <w:color w:val="000000" w:themeColor="text1"/>
          <w:sz w:val="32"/>
          <w:szCs w:val="32"/>
          <w14:textFill>
            <w14:solidFill>
              <w14:schemeClr w14:val="tx1"/>
            </w14:solidFill>
          </w14:textFill>
        </w:rPr>
      </w:pPr>
      <w:bookmarkStart w:id="87" w:name="_Toc8052"/>
      <w:r>
        <w:rPr>
          <w:rFonts w:hint="eastAsia" w:ascii="方正黑体_GBK" w:hAnsi="方正黑体_GBK" w:eastAsia="方正黑体_GBK" w:cs="方正黑体_GBK"/>
          <w:b w:val="0"/>
          <w:bCs/>
          <w:color w:val="000000" w:themeColor="text1"/>
          <w:sz w:val="32"/>
          <w:szCs w:val="32"/>
          <w14:textFill>
            <w14:solidFill>
              <w14:schemeClr w14:val="tx1"/>
            </w14:solidFill>
          </w14:textFill>
        </w:rPr>
        <w:t>第四章  公共体育设施配置要求及主要任务</w:t>
      </w:r>
      <w:bookmarkEnd w:id="86"/>
      <w:bookmarkEnd w:id="87"/>
    </w:p>
    <w:p>
      <w:pPr>
        <w:pStyle w:val="6"/>
        <w:spacing w:after="0" w:line="53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填补行政村（社区）公共体育设施空白、完善场地功能，实现行政村（社区）级公共体育设施全拥有、全覆盖。实施各级体育公园、健身步道等户外体育设施的建设和提升工程，落实区级、镇（街道）级体育中心、健身中心建设项目，为中远期公共体育设施面向基层进一步下沉打下基础。具体配置要求如表2所示：</w:t>
      </w:r>
    </w:p>
    <w:p>
      <w:pPr>
        <w:pStyle w:val="6"/>
        <w:spacing w:after="0" w:line="530" w:lineRule="exact"/>
        <w:jc w:val="center"/>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表2 宿迁市中心城市公共体育设施配置要求</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
        <w:gridCol w:w="832"/>
        <w:gridCol w:w="481"/>
        <w:gridCol w:w="583"/>
        <w:gridCol w:w="568"/>
        <w:gridCol w:w="644"/>
        <w:gridCol w:w="568"/>
        <w:gridCol w:w="583"/>
        <w:gridCol w:w="603"/>
        <w:gridCol w:w="627"/>
        <w:gridCol w:w="663"/>
        <w:gridCol w:w="588"/>
        <w:gridCol w:w="468"/>
        <w:gridCol w:w="445"/>
        <w:gridCol w:w="502"/>
        <w:gridCol w:w="406"/>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1114" w:type="dxa"/>
            <w:gridSpan w:val="2"/>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级别</w:t>
            </w:r>
          </w:p>
        </w:tc>
        <w:tc>
          <w:tcPr>
            <w:tcW w:w="5908" w:type="dxa"/>
            <w:gridSpan w:val="10"/>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基本配置设施</w:t>
            </w:r>
          </w:p>
        </w:tc>
        <w:tc>
          <w:tcPr>
            <w:tcW w:w="2258" w:type="dxa"/>
            <w:gridSpan w:val="5"/>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专项体育设施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1114" w:type="dxa"/>
            <w:gridSpan w:val="2"/>
            <w:vMerge w:val="continue"/>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p>
        </w:tc>
        <w:tc>
          <w:tcPr>
            <w:tcW w:w="481"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体育中心</w:t>
            </w:r>
          </w:p>
        </w:tc>
        <w:tc>
          <w:tcPr>
            <w:tcW w:w="1795" w:type="dxa"/>
            <w:gridSpan w:val="3"/>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全民健身中心</w:t>
            </w:r>
          </w:p>
        </w:tc>
        <w:tc>
          <w:tcPr>
            <w:tcW w:w="1754" w:type="dxa"/>
            <w:gridSpan w:val="3"/>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多功能运动场</w:t>
            </w:r>
          </w:p>
        </w:tc>
        <w:tc>
          <w:tcPr>
            <w:tcW w:w="1878" w:type="dxa"/>
            <w:gridSpan w:val="3"/>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体育/健身公园</w:t>
            </w:r>
          </w:p>
        </w:tc>
        <w:tc>
          <w:tcPr>
            <w:tcW w:w="468"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户外运动场地</w:t>
            </w:r>
          </w:p>
        </w:tc>
        <w:tc>
          <w:tcPr>
            <w:tcW w:w="445"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公园配建体育设施</w:t>
            </w:r>
          </w:p>
        </w:tc>
        <w:tc>
          <w:tcPr>
            <w:tcW w:w="502"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城市健身步道</w:t>
            </w:r>
          </w:p>
        </w:tc>
        <w:tc>
          <w:tcPr>
            <w:tcW w:w="406"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马拉松赛道</w:t>
            </w:r>
          </w:p>
        </w:tc>
        <w:tc>
          <w:tcPr>
            <w:tcW w:w="437" w:type="dxa"/>
            <w:vMerge w:val="restart"/>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体育服务综合体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114" w:type="dxa"/>
            <w:gridSpan w:val="2"/>
            <w:vMerge w:val="continue"/>
            <w:vAlign w:val="center"/>
          </w:tcPr>
          <w:p>
            <w:pPr>
              <w:pStyle w:val="27"/>
              <w:spacing w:line="220" w:lineRule="exact"/>
              <w:ind w:firstLine="0" w:firstLineChars="0"/>
              <w:jc w:val="center"/>
              <w:rPr>
                <w:rFonts w:ascii="兰米正黑体" w:hAnsi="兰米正黑体" w:eastAsia="兰米正黑体" w:cs="兰米正黑体"/>
                <w:color w:val="000000" w:themeColor="text1"/>
                <w:kern w:val="0"/>
                <w:sz w:val="18"/>
                <w:szCs w:val="20"/>
                <w14:textFill>
                  <w14:solidFill>
                    <w14:schemeClr w14:val="tx1"/>
                  </w14:solidFill>
                </w14:textFill>
              </w:rPr>
            </w:pPr>
          </w:p>
        </w:tc>
        <w:tc>
          <w:tcPr>
            <w:tcW w:w="481" w:type="dxa"/>
            <w:vMerge w:val="continue"/>
            <w:vAlign w:val="center"/>
          </w:tcPr>
          <w:p>
            <w:pPr>
              <w:pStyle w:val="27"/>
              <w:spacing w:line="220" w:lineRule="exact"/>
              <w:ind w:firstLine="0" w:firstLineChars="0"/>
              <w:jc w:val="center"/>
              <w:rPr>
                <w:rFonts w:ascii="兰米正黑体" w:hAnsi="兰米正黑体" w:eastAsia="兰米正黑体" w:cs="兰米正黑体"/>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建筑面积8000平方米以上</w:t>
            </w:r>
          </w:p>
        </w:tc>
        <w:tc>
          <w:tcPr>
            <w:tcW w:w="568"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spacing w:val="-11"/>
                <w:kern w:val="0"/>
                <w:sz w:val="18"/>
                <w:szCs w:val="20"/>
                <w14:textFill>
                  <w14:solidFill>
                    <w14:schemeClr w14:val="tx1"/>
                  </w14:solidFill>
                </w14:textFill>
              </w:rPr>
              <w:t>建筑面积</w:t>
            </w:r>
            <w:r>
              <w:rPr>
                <w:rFonts w:hint="eastAsia" w:ascii="方正黑体_GBK" w:hAnsi="方正黑体_GBK" w:eastAsia="方正黑体_GBK" w:cs="方正黑体_GBK"/>
                <w:color w:val="000000" w:themeColor="text1"/>
                <w:kern w:val="0"/>
                <w:sz w:val="18"/>
                <w:szCs w:val="20"/>
                <w14:textFill>
                  <w14:solidFill>
                    <w14:schemeClr w14:val="tx1"/>
                  </w14:solidFill>
                </w14:textFill>
              </w:rPr>
              <w:t>5000平方米以上</w:t>
            </w:r>
          </w:p>
        </w:tc>
        <w:tc>
          <w:tcPr>
            <w:tcW w:w="644"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建筑面积1000平方米以上</w:t>
            </w:r>
          </w:p>
        </w:tc>
        <w:tc>
          <w:tcPr>
            <w:tcW w:w="568"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spacing w:val="-6"/>
                <w:kern w:val="0"/>
                <w:sz w:val="18"/>
                <w:szCs w:val="20"/>
                <w14:textFill>
                  <w14:solidFill>
                    <w14:schemeClr w14:val="tx1"/>
                  </w14:solidFill>
                </w14:textFill>
              </w:rPr>
              <w:t>用地面积</w:t>
            </w:r>
            <w:r>
              <w:rPr>
                <w:rFonts w:hint="eastAsia" w:ascii="方正黑体_GBK" w:hAnsi="方正黑体_GBK" w:eastAsia="方正黑体_GBK" w:cs="方正黑体_GBK"/>
                <w:color w:val="000000" w:themeColor="text1"/>
                <w:kern w:val="0"/>
                <w:sz w:val="18"/>
                <w:szCs w:val="20"/>
                <w14:textFill>
                  <w14:solidFill>
                    <w14:schemeClr w14:val="tx1"/>
                  </w14:solidFill>
                </w14:textFill>
              </w:rPr>
              <w:t>3500平方米以上</w:t>
            </w:r>
          </w:p>
        </w:tc>
        <w:tc>
          <w:tcPr>
            <w:tcW w:w="583"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用地面积1000平方米以上</w:t>
            </w:r>
          </w:p>
        </w:tc>
        <w:tc>
          <w:tcPr>
            <w:tcW w:w="603"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用地面积800平方米以上</w:t>
            </w:r>
          </w:p>
        </w:tc>
        <w:tc>
          <w:tcPr>
            <w:tcW w:w="627"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占地4万平方米以上</w:t>
            </w:r>
          </w:p>
        </w:tc>
        <w:tc>
          <w:tcPr>
            <w:tcW w:w="663"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占地2000-5000平方米</w:t>
            </w:r>
          </w:p>
        </w:tc>
        <w:tc>
          <w:tcPr>
            <w:tcW w:w="588" w:type="dxa"/>
            <w:vAlign w:val="center"/>
          </w:tcPr>
          <w:p>
            <w:pPr>
              <w:pStyle w:val="27"/>
              <w:spacing w:line="220" w:lineRule="exact"/>
              <w:ind w:firstLine="0" w:firstLineChars="0"/>
              <w:jc w:val="center"/>
              <w:rPr>
                <w:rFonts w:ascii="方正黑体_GBK" w:hAnsi="方正黑体_GBK" w:eastAsia="方正黑体_GBK" w:cs="方正黑体_GBK"/>
                <w:color w:val="000000" w:themeColor="text1"/>
                <w:kern w:val="0"/>
                <w:sz w:val="18"/>
                <w:szCs w:val="20"/>
                <w14:textFill>
                  <w14:solidFill>
                    <w14:schemeClr w14:val="tx1"/>
                  </w14:solidFill>
                </w14:textFill>
              </w:rPr>
            </w:pPr>
            <w:r>
              <w:rPr>
                <w:rFonts w:hint="eastAsia" w:ascii="方正黑体_GBK" w:hAnsi="方正黑体_GBK" w:eastAsia="方正黑体_GBK" w:cs="方正黑体_GBK"/>
                <w:color w:val="000000" w:themeColor="text1"/>
                <w:kern w:val="0"/>
                <w:sz w:val="18"/>
                <w:szCs w:val="20"/>
                <w14:textFill>
                  <w14:solidFill>
                    <w14:schemeClr w14:val="tx1"/>
                  </w14:solidFill>
                </w14:textFill>
              </w:rPr>
              <w:t>占地1000-2000平方米</w:t>
            </w:r>
          </w:p>
        </w:tc>
        <w:tc>
          <w:tcPr>
            <w:tcW w:w="468"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02"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14" w:type="dxa"/>
            <w:gridSpan w:val="2"/>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市级</w:t>
            </w:r>
          </w:p>
        </w:tc>
        <w:tc>
          <w:tcPr>
            <w:tcW w:w="481"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44"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0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2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66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445"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114" w:type="dxa"/>
            <w:gridSpan w:val="2"/>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区级</w:t>
            </w:r>
          </w:p>
        </w:tc>
        <w:tc>
          <w:tcPr>
            <w:tcW w:w="481"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644"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0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2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66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b w:val="0"/>
                <w:bCs/>
                <w:color w:val="000000" w:themeColor="text1"/>
                <w:sz w:val="18"/>
                <w:szCs w:val="18"/>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82" w:type="dxa"/>
            <w:vMerge w:val="restart"/>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基层</w:t>
            </w:r>
          </w:p>
        </w:tc>
        <w:tc>
          <w:tcPr>
            <w:tcW w:w="832" w:type="dxa"/>
            <w:vAlign w:val="center"/>
          </w:tcPr>
          <w:p>
            <w:pPr>
              <w:pStyle w:val="27"/>
              <w:spacing w:line="220" w:lineRule="exact"/>
              <w:ind w:firstLine="0" w:firstLineChars="0"/>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镇（街道）</w:t>
            </w:r>
          </w:p>
        </w:tc>
        <w:tc>
          <w:tcPr>
            <w:tcW w:w="481" w:type="dxa"/>
            <w:vAlign w:val="center"/>
          </w:tcPr>
          <w:p>
            <w:pPr>
              <w:pStyle w:val="27"/>
              <w:spacing w:line="220" w:lineRule="exact"/>
              <w:ind w:firstLine="0" w:firstLineChars="0"/>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44"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0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27"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663"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r>
              <w:rPr>
                <w:rStyle w:val="16"/>
                <w:rFonts w:hint="eastAsia" w:ascii="方正仿宋_GBK" w:hAnsi="方正仿宋_GBK" w:eastAsia="方正仿宋_GBK" w:cs="方正仿宋_GBK"/>
                <w:color w:val="000000" w:themeColor="text1"/>
                <w:sz w:val="18"/>
                <w:szCs w:val="18"/>
                <w:shd w:val="clear" w:color="auto" w:fill="FFFFFF"/>
                <w14:textFill>
                  <w14:solidFill>
                    <w14:schemeClr w14:val="tx1"/>
                  </w14:solidFill>
                </w14:textFill>
              </w:rPr>
              <w:t>▲</w:t>
            </w:r>
          </w:p>
        </w:tc>
        <w:tc>
          <w:tcPr>
            <w:tcW w:w="588"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82"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83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行政村</w:t>
            </w:r>
          </w:p>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（社区）</w:t>
            </w:r>
          </w:p>
        </w:tc>
        <w:tc>
          <w:tcPr>
            <w:tcW w:w="481"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44"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60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27"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663"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588"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82"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83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spacing w:val="-17"/>
                <w:kern w:val="0"/>
                <w:sz w:val="18"/>
                <w:szCs w:val="20"/>
                <w14:textFill>
                  <w14:solidFill>
                    <w14:schemeClr w14:val="tx1"/>
                  </w14:solidFill>
                </w14:textFill>
              </w:rPr>
            </w:pPr>
            <w:r>
              <w:rPr>
                <w:rFonts w:hint="eastAsia" w:ascii="方正仿宋_GBK" w:hAnsi="方正仿宋_GBK" w:eastAsia="方正仿宋_GBK" w:cs="方正仿宋_GBK"/>
                <w:color w:val="000000" w:themeColor="text1"/>
                <w:spacing w:val="-17"/>
                <w:kern w:val="0"/>
                <w:sz w:val="18"/>
                <w:szCs w:val="20"/>
                <w14:textFill>
                  <w14:solidFill>
                    <w14:schemeClr w14:val="tx1"/>
                  </w14:solidFill>
                </w14:textFill>
              </w:rPr>
              <w:t>自然村</w:t>
            </w:r>
          </w:p>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spacing w:val="-17"/>
                <w:kern w:val="0"/>
                <w:sz w:val="18"/>
                <w:szCs w:val="20"/>
                <w14:textFill>
                  <w14:solidFill>
                    <w14:schemeClr w14:val="tx1"/>
                  </w14:solidFill>
                </w14:textFill>
              </w:rPr>
              <w:t>（居住小区）</w:t>
            </w:r>
          </w:p>
        </w:tc>
        <w:tc>
          <w:tcPr>
            <w:tcW w:w="481"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44"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0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627"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663"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588"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82" w:type="dxa"/>
            <w:vMerge w:val="continue"/>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83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r>
              <w:rPr>
                <w:rFonts w:hint="eastAsia" w:ascii="方正仿宋_GBK" w:hAnsi="方正仿宋_GBK" w:eastAsia="方正仿宋_GBK" w:cs="方正仿宋_GBK"/>
                <w:color w:val="000000" w:themeColor="text1"/>
                <w:kern w:val="0"/>
                <w:sz w:val="18"/>
                <w:szCs w:val="20"/>
                <w14:textFill>
                  <w14:solidFill>
                    <w14:schemeClr w14:val="tx1"/>
                  </w14:solidFill>
                </w14:textFill>
              </w:rPr>
              <w:t>居住街坊</w:t>
            </w:r>
          </w:p>
        </w:tc>
        <w:tc>
          <w:tcPr>
            <w:tcW w:w="481"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44"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5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58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603"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62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18"/>
                <w14:textFill>
                  <w14:solidFill>
                    <w14:schemeClr w14:val="tx1"/>
                  </w14:solidFill>
                </w14:textFill>
              </w:rPr>
            </w:pPr>
          </w:p>
        </w:tc>
        <w:tc>
          <w:tcPr>
            <w:tcW w:w="663"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18"/>
                <w14:textFill>
                  <w14:solidFill>
                    <w14:schemeClr w14:val="tx1"/>
                  </w14:solidFill>
                </w14:textFill>
              </w:rPr>
            </w:pPr>
          </w:p>
        </w:tc>
        <w:tc>
          <w:tcPr>
            <w:tcW w:w="58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14:textFill>
                  <w14:solidFill>
                    <w14:schemeClr w14:val="tx1"/>
                  </w14:solidFill>
                </w14:textFill>
              </w:rPr>
              <w:t>△</w:t>
            </w:r>
          </w:p>
        </w:tc>
        <w:tc>
          <w:tcPr>
            <w:tcW w:w="468"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45" w:type="dxa"/>
            <w:vAlign w:val="center"/>
          </w:tcPr>
          <w:p>
            <w:pPr>
              <w:pStyle w:val="27"/>
              <w:spacing w:line="220" w:lineRule="exact"/>
              <w:ind w:firstLine="0" w:firstLineChars="0"/>
              <w:jc w:val="center"/>
              <w:rPr>
                <w:rStyle w:val="16"/>
                <w:rFonts w:ascii="方正仿宋_GBK" w:hAnsi="方正仿宋_GBK" w:eastAsia="方正仿宋_GBK" w:cs="方正仿宋_GBK"/>
                <w:color w:val="000000" w:themeColor="text1"/>
                <w:sz w:val="18"/>
                <w:szCs w:val="18"/>
                <w:shd w:val="clear" w:color="auto" w:fill="FFFFFF"/>
                <w14:textFill>
                  <w14:solidFill>
                    <w14:schemeClr w14:val="tx1"/>
                  </w14:solidFill>
                </w14:textFill>
              </w:rPr>
            </w:pPr>
          </w:p>
        </w:tc>
        <w:tc>
          <w:tcPr>
            <w:tcW w:w="502"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06"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c>
          <w:tcPr>
            <w:tcW w:w="437" w:type="dxa"/>
            <w:vAlign w:val="center"/>
          </w:tcPr>
          <w:p>
            <w:pPr>
              <w:pStyle w:val="27"/>
              <w:spacing w:line="220" w:lineRule="exact"/>
              <w:ind w:firstLine="0" w:firstLineChars="0"/>
              <w:jc w:val="center"/>
              <w:rPr>
                <w:rFonts w:ascii="方正仿宋_GBK" w:hAnsi="方正仿宋_GBK" w:eastAsia="方正仿宋_GBK" w:cs="方正仿宋_GBK"/>
                <w:color w:val="000000" w:themeColor="text1"/>
                <w:kern w:val="0"/>
                <w:sz w:val="18"/>
                <w:szCs w:val="20"/>
                <w14:textFill>
                  <w14:solidFill>
                    <w14:schemeClr w14:val="tx1"/>
                  </w14:solidFill>
                </w14:textFill>
              </w:rPr>
            </w:pPr>
          </w:p>
        </w:tc>
      </w:tr>
    </w:tbl>
    <w:p>
      <w:pPr>
        <w:pStyle w:val="6"/>
        <w:spacing w:after="0" w:line="4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注：▲为应配建的项目，△为根据实际情况按需配建的项目。</w:t>
      </w:r>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为完善体育设施配置，“十四五”期间中心城市主要建设和提升的重点体育设施项目包括：</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4" w:hRule="atLeast"/>
          <w:jc w:val="center"/>
        </w:trPr>
        <w:tc>
          <w:tcPr>
            <w:tcW w:w="9000" w:type="dxa"/>
            <w:vAlign w:val="center"/>
          </w:tcPr>
          <w:p>
            <w:pPr>
              <w:pStyle w:val="6"/>
              <w:spacing w:after="0" w:line="320" w:lineRule="exact"/>
              <w:jc w:val="center"/>
              <w:rPr>
                <w:rFonts w:ascii="方正楷体_GBK" w:hAnsi="方正楷体_GBK" w:eastAsia="方正楷体_GBK" w:cs="方正楷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专栏1 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9" w:hRule="atLeast"/>
          <w:jc w:val="center"/>
        </w:trPr>
        <w:tc>
          <w:tcPr>
            <w:tcW w:w="9000" w:type="dxa"/>
          </w:tcPr>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实施体育公园建设或提升项目。实施不少于12个体育公园项目的提升改造工程。其中应包括不少于4个市级体育公园、不少于4个区级体育公园以及不少于4个镇（街道）级体育公园。鼓励实施占地面积10万平方米以上的体育公园项目。</w:t>
            </w:r>
          </w:p>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填补行政村（社区）级公共体育设施空缺。根据实际情况填补空白，使行政村（社区）级公共体育设施拥有率达100%。</w:t>
            </w:r>
          </w:p>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新增健身步道。新增60公里健身步道，融入宿迁城市慢行系统，并配套设置体育器材、安全标识系统、健康提示等附属设施。</w:t>
            </w:r>
          </w:p>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宿迁马拉松赛道提升。以宿迁马拉松赛路线为基础，结合城市慢行系统，规划设置能够展现宿迁风貌的慢跑路线，并在沿途布设体育器材、标识系统以及运动雕塑等体育元素。</w:t>
            </w:r>
          </w:p>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实</w:t>
            </w:r>
            <w:r>
              <w:rPr>
                <w:rFonts w:hint="eastAsia" w:ascii="方正仿宋_GBK" w:hAnsi="方正仿宋_GBK" w:eastAsia="方正仿宋_GBK" w:cs="方正仿宋_GBK"/>
                <w:bCs/>
                <w:color w:val="000000" w:themeColor="text1"/>
                <w:spacing w:val="-6"/>
                <w:szCs w:val="21"/>
                <w14:textFill>
                  <w14:solidFill>
                    <w14:schemeClr w14:val="tx1"/>
                  </w14:solidFill>
                </w14:textFill>
              </w:rPr>
              <w:t>施区级体育设施提升改造项目。主要包括实施宿豫区体育中心改建项目以及苏宿文体综合体项目。</w:t>
            </w:r>
          </w:p>
          <w:p>
            <w:pPr>
              <w:pStyle w:val="6"/>
              <w:spacing w:after="0" w:line="32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实施镇（街道）级健身中心项目。主要包括宿城区洋北文体中心以及龙河镇文体活动中心项目。</w:t>
            </w:r>
          </w:p>
        </w:tc>
      </w:tr>
    </w:tbl>
    <w:p>
      <w:pPr>
        <w:pStyle w:val="5"/>
        <w:keepNext w:val="0"/>
        <w:keepLines w:val="0"/>
        <w:numPr>
          <w:ilvl w:val="0"/>
          <w:numId w:val="0"/>
        </w:numPr>
        <w:spacing w:before="0" w:after="0" w:line="550" w:lineRule="exact"/>
        <w:jc w:val="center"/>
        <w:rPr>
          <w:rFonts w:ascii="方正黑体_GBK" w:hAnsi="方正黑体_GBK" w:eastAsia="方正黑体_GBK" w:cs="方正黑体_GBK"/>
          <w:b w:val="0"/>
          <w:bCs/>
          <w:color w:val="000000" w:themeColor="text1"/>
          <w:sz w:val="32"/>
          <w:szCs w:val="32"/>
          <w14:textFill>
            <w14:solidFill>
              <w14:schemeClr w14:val="tx1"/>
            </w14:solidFill>
          </w14:textFill>
        </w:rPr>
      </w:pPr>
      <w:bookmarkStart w:id="88" w:name="_Toc14353"/>
      <w:bookmarkStart w:id="89" w:name="_Toc16151"/>
      <w:r>
        <w:rPr>
          <w:rFonts w:hint="eastAsia" w:ascii="方正黑体_GBK" w:hAnsi="方正黑体_GBK" w:eastAsia="方正黑体_GBK" w:cs="方正黑体_GBK"/>
          <w:b w:val="0"/>
          <w:bCs/>
          <w:color w:val="000000" w:themeColor="text1"/>
          <w:sz w:val="32"/>
          <w:szCs w:val="32"/>
          <w14:textFill>
            <w14:solidFill>
              <w14:schemeClr w14:val="tx1"/>
            </w14:solidFill>
          </w14:textFill>
        </w:rPr>
        <w:t>第五章  公共体育设施体系发展策略</w:t>
      </w:r>
      <w:bookmarkEnd w:id="88"/>
      <w:bookmarkEnd w:id="89"/>
    </w:p>
    <w:p>
      <w:pPr>
        <w:spacing w:line="55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90" w:name="_Toc22062"/>
      <w:bookmarkStart w:id="91" w:name="_Toc4301"/>
      <w:r>
        <w:rPr>
          <w:rFonts w:hint="eastAsia" w:ascii="方正楷体_GBK" w:hAnsi="方正楷体_GBK" w:eastAsia="方正楷体_GBK" w:cs="方正楷体_GBK"/>
          <w:color w:val="000000" w:themeColor="text1"/>
          <w:sz w:val="32"/>
          <w:szCs w:val="32"/>
          <w14:textFill>
            <w14:solidFill>
              <w14:schemeClr w14:val="tx1"/>
            </w14:solidFill>
          </w14:textFill>
        </w:rPr>
        <w:t>第一节  公共体育设施空间发展策略</w:t>
      </w:r>
      <w:bookmarkEnd w:id="90"/>
      <w:bookmarkEnd w:id="91"/>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92" w:name="_Toc24984"/>
      <w:r>
        <w:rPr>
          <w:rFonts w:hint="eastAsia" w:ascii="方正仿宋_GBK" w:hAnsi="方正仿宋_GBK" w:eastAsia="方正仿宋_GBK" w:cs="方正仿宋_GBK"/>
          <w:bCs/>
          <w:color w:val="000000" w:themeColor="text1"/>
          <w:sz w:val="32"/>
          <w:szCs w:val="32"/>
          <w14:textFill>
            <w14:solidFill>
              <w14:schemeClr w14:val="tx1"/>
            </w14:solidFill>
          </w14:textFill>
        </w:rPr>
        <w:t>将各类体育设施与城市公共服务设施、公园绿地、商服设施结合，形成多元融合的城市公共体育设施体系。各类公共体育设施应积极引入各类赛事活动，满足群众日益多样化的健身需求，提高空间利用率。</w:t>
      </w:r>
    </w:p>
    <w:p>
      <w:pPr>
        <w:spacing w:line="55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一、厘清家底，挖掘存量</w:t>
      </w:r>
      <w:bookmarkEnd w:id="92"/>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掌握中心城市现有公共体育设施情况，针对体育场地设施现状进行维修、维护和提升改造；挖掘城市现有可供体育设施安置使用的“金角银边”，扩大体育场地设施的有效供给。</w:t>
      </w:r>
    </w:p>
    <w:p>
      <w:pPr>
        <w:spacing w:line="55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93" w:name="_Toc19170"/>
      <w:r>
        <w:rPr>
          <w:rFonts w:hint="eastAsia" w:ascii="方正黑体_GBK" w:hAnsi="方正黑体_GBK" w:eastAsia="方正黑体_GBK" w:cs="方正黑体_GBK"/>
          <w:bCs/>
          <w:color w:val="000000" w:themeColor="text1"/>
          <w:sz w:val="32"/>
          <w:szCs w:val="32"/>
          <w14:textFill>
            <w14:solidFill>
              <w14:schemeClr w14:val="tx1"/>
            </w14:solidFill>
          </w14:textFill>
        </w:rPr>
        <w:t>二、公共体育设施的布置趋向复合化</w:t>
      </w:r>
      <w:bookmarkEnd w:id="93"/>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充分利用城市的土地资源，挖潜边角闲置地，进行科学设计，使用可拆卸、可移动、装配式的体育设施，使体育场地设施像复合化、多功能方向发展。</w:t>
      </w:r>
    </w:p>
    <w:p>
      <w:pPr>
        <w:spacing w:line="55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bookmarkStart w:id="94" w:name="_Toc13237"/>
      <w:r>
        <w:rPr>
          <w:rFonts w:hint="eastAsia" w:ascii="方正黑体_GBK" w:hAnsi="方正黑体_GBK" w:eastAsia="方正黑体_GBK" w:cs="方正黑体_GBK"/>
          <w:bCs/>
          <w:color w:val="000000" w:themeColor="text1"/>
          <w:sz w:val="32"/>
          <w:szCs w:val="32"/>
          <w14:textFill>
            <w14:solidFill>
              <w14:schemeClr w14:val="tx1"/>
            </w14:solidFill>
          </w14:textFill>
        </w:rPr>
        <w:t>三、鼓励设置非标场地</w:t>
      </w:r>
      <w:bookmarkEnd w:id="94"/>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充分利用城市“金角银边”设计布置非标趣味体育运动场地；老旧小区中可“见缝插针”设置居住街坊级体育设施；新建居住小区应按照有关指标要求，依据场地条件配套建设适应性较强的体育设施，从而扩大公共体育设施有效供给。</w:t>
      </w:r>
    </w:p>
    <w:p>
      <w:pPr>
        <w:ind w:firstLine="420" w:firstLineChars="200"/>
        <w:jc w:val="left"/>
        <w:rPr>
          <w:color w:val="000000" w:themeColor="text1"/>
          <w14:textFill>
            <w14:solidFill>
              <w14:schemeClr w14:val="tx1"/>
            </w14:solidFill>
          </w14:textFill>
        </w:rPr>
      </w:pPr>
      <w:bookmarkStart w:id="95" w:name="_Toc9239"/>
      <w:r>
        <w:rPr>
          <w:color w:val="000000" w:themeColor="text1"/>
          <w14:textFill>
            <w14:solidFill>
              <w14:schemeClr w14:val="tx1"/>
            </w14:solidFill>
          </w14:textFill>
        </w:rPr>
        <w:drawing>
          <wp:inline distT="0" distB="0" distL="114300" distR="114300">
            <wp:extent cx="2809240" cy="124904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809240" cy="1249045"/>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682115" cy="1523365"/>
            <wp:effectExtent l="0" t="0" r="952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682115" cy="1523365"/>
                    </a:xfrm>
                    <a:prstGeom prst="rect">
                      <a:avLst/>
                    </a:prstGeom>
                    <a:noFill/>
                    <a:ln>
                      <a:noFill/>
                    </a:ln>
                  </pic:spPr>
                </pic:pic>
              </a:graphicData>
            </a:graphic>
          </wp:inline>
        </w:drawing>
      </w:r>
    </w:p>
    <w:p>
      <w:pPr>
        <w:pStyle w:val="6"/>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157095" cy="141097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157095" cy="1410970"/>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390015" cy="2256155"/>
            <wp:effectExtent l="0" t="0" r="1460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rcRect r="9786"/>
                    <a:stretch>
                      <a:fillRect/>
                    </a:stretch>
                  </pic:blipFill>
                  <pic:spPr>
                    <a:xfrm rot="5400000">
                      <a:off x="0" y="0"/>
                      <a:ext cx="1390015" cy="2256155"/>
                    </a:xfrm>
                    <a:prstGeom prst="rect">
                      <a:avLst/>
                    </a:prstGeom>
                    <a:noFill/>
                    <a:ln>
                      <a:noFill/>
                    </a:ln>
                  </pic:spPr>
                </pic:pic>
              </a:graphicData>
            </a:graphic>
          </wp:inline>
        </w:drawing>
      </w:r>
    </w:p>
    <w:p>
      <w:pPr>
        <w:ind w:firstLine="480" w:firstLineChars="200"/>
        <w:jc w:val="center"/>
        <w:rPr>
          <w:rFonts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（非标足球场示意图）</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四、废旧厂房再利用</w:t>
      </w:r>
      <w:bookmarkEnd w:id="95"/>
    </w:p>
    <w:p>
      <w:pPr>
        <w:spacing w:line="53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在安全条件允许的前提下，按照体育设施技术要求，鼓励利用闲置厂房、仓储用房、商服设施等存量建筑空间改造成为体育场地，并依法依规调整其土地性质、使用功能、租赁期限、消防设施等相关建设要求。</w:t>
      </w:r>
    </w:p>
    <w:p>
      <w:pPr>
        <w:spacing w:line="530" w:lineRule="exact"/>
        <w:ind w:firstLine="640" w:firstLineChars="200"/>
        <w:outlineLvl w:val="2"/>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五、特色体育空间</w:t>
      </w:r>
    </w:p>
    <w:p>
      <w:pPr>
        <w:spacing w:line="530" w:lineRule="exact"/>
        <w:ind w:firstLine="616"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可结合城市规划设计，利用金角银边进行设置。智能健身小屋。智能健身小屋主要为装配式设施，通过智能化系统进行预约，可利用VR设备系统，进行体育项目跟练、体育运动监控。商业综合体空间综合利用。</w:t>
      </w:r>
      <w:r>
        <w:rPr>
          <w:rFonts w:hint="eastAsia" w:ascii="方正仿宋_GBK" w:hAnsi="方正仿宋_GBK" w:eastAsia="方正仿宋_GBK" w:cs="方正仿宋_GBK"/>
          <w:bCs/>
          <w:color w:val="000000" w:themeColor="text1"/>
          <w:sz w:val="32"/>
          <w:szCs w:val="32"/>
          <w14:textFill>
            <w14:solidFill>
              <w14:schemeClr w14:val="tx1"/>
            </w14:solidFill>
          </w14:textFill>
        </w:rPr>
        <w:t>利用商业综合体闲置空间，部</w:t>
      </w: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署可用于运动的小型体育空间或适用于儿童开展体育活动的场地。例如攀岩墙、壁球、3V3篮球、小足球等。智能化健身舞广场。将智能化隔音墙与小型开敞空地结合，用于开展广场舞、时尚运动等场地。多功能大空间设施。利用桥下、架空层等空间，设置对天气要求较高的运动项目，例如羽毛球、乒乓球等。</w:t>
      </w:r>
    </w:p>
    <w:p>
      <w:pPr>
        <w:spacing w:line="530" w:lineRule="exact"/>
        <w:ind w:firstLine="640" w:firstLineChars="200"/>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96" w:name="_Toc18317"/>
      <w:bookmarkStart w:id="97" w:name="_Toc9132"/>
      <w:r>
        <w:rPr>
          <w:rFonts w:hint="eastAsia" w:ascii="方正楷体_GBK" w:hAnsi="方正楷体_GBK" w:eastAsia="方正楷体_GBK" w:cs="方正楷体_GBK"/>
          <w:color w:val="000000" w:themeColor="text1"/>
          <w:sz w:val="32"/>
          <w:szCs w:val="32"/>
          <w14:textFill>
            <w14:solidFill>
              <w14:schemeClr w14:val="tx1"/>
            </w14:solidFill>
          </w14:textFill>
        </w:rPr>
        <w:t>第二节  基本公共体育服务设施体系发展策略</w:t>
      </w:r>
      <w:bookmarkEnd w:id="96"/>
      <w:bookmarkEnd w:id="97"/>
    </w:p>
    <w:p>
      <w:pPr>
        <w:pStyle w:val="6"/>
        <w:spacing w:after="0" w:line="53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基本公共体育设施以提供均等化的体育服务为核心，其实施和开放应由各级政府进行保障。原则上由政府投资建设、改造，项目实施以满足广大群众基本体育活动需求为主，以就近就便为主要原则，项目的实施以满足群众日常需求为主要目的。</w:t>
      </w:r>
    </w:p>
    <w:tbl>
      <w:tblPr>
        <w:tblStyle w:val="1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4" w:hRule="atLeast"/>
          <w:jc w:val="center"/>
        </w:trPr>
        <w:tc>
          <w:tcPr>
            <w:tcW w:w="8785" w:type="dxa"/>
            <w:vAlign w:val="center"/>
          </w:tcPr>
          <w:p>
            <w:pPr>
              <w:pStyle w:val="6"/>
              <w:spacing w:after="0" w:line="340" w:lineRule="exact"/>
              <w:jc w:val="center"/>
              <w:rPr>
                <w:rFonts w:ascii="仿宋" w:hAnsi="仿宋" w:eastAsia="仿宋"/>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专栏2  基本公共体育设施供给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09" w:hRule="atLeast"/>
          <w:jc w:val="center"/>
        </w:trPr>
        <w:tc>
          <w:tcPr>
            <w:tcW w:w="8785" w:type="dxa"/>
          </w:tcPr>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实施“为民办实事”工程。每年通过办实事经费的投入，落实基层体育器材采购和安装。“十四五”期间配置1000套健身路径，进一步完善行政村（社区）级配套体育设施。</w:t>
            </w:r>
          </w:p>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适老性体育设施提升。新建或已建的居住区、养老服务机构中，应安装健身器材以及门球、气排球等适老性健身场地。</w:t>
            </w:r>
          </w:p>
          <w:p>
            <w:pPr>
              <w:pStyle w:val="6"/>
              <w:spacing w:after="0" w:line="340" w:lineRule="exact"/>
              <w:ind w:firstLine="420" w:firstLineChars="200"/>
              <w:rPr>
                <w:rFonts w:ascii="仿宋" w:hAnsi="仿宋" w:eastAsia="仿宋"/>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落实贯彻青少年体育活动促进计划。配备适合学龄前儿童动作发展和身体锻炼的设施设备，全面保障青少年课内外体育活动设施。</w:t>
            </w:r>
          </w:p>
        </w:tc>
      </w:tr>
    </w:tbl>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以财政资金投资建设、配置的基本公共体育设施原则上以免费、低收费的模式进行开放运营。</w:t>
      </w:r>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利用各镇（街道）的体育总会机制，融合社会体育指导员的工作，结合基层体育设施，为百姓提供基本公共体育服务。一是增强基本公共体育服务的供给能力，落实开放政策、完善开放信息；二是对接基本公共体育服务需求，针对全人群提供有效体育服务；三是推动基本公共体育服务与文化、健康等服务融合发展；四是通过协会社团等组织提供有组织的体育活动和服务，完善基本公共体育服务供给。</w:t>
      </w:r>
    </w:p>
    <w:tbl>
      <w:tblPr>
        <w:tblStyle w:val="1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3" w:hRule="atLeast"/>
          <w:jc w:val="center"/>
        </w:trPr>
        <w:tc>
          <w:tcPr>
            <w:tcW w:w="8776" w:type="dxa"/>
            <w:vAlign w:val="center"/>
          </w:tcPr>
          <w:p>
            <w:pPr>
              <w:pStyle w:val="6"/>
              <w:spacing w:after="0" w:line="360" w:lineRule="exact"/>
              <w:jc w:val="center"/>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专栏3  基本公共体育服务供给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8776" w:type="dxa"/>
          </w:tcPr>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“健身菜单”配置。结合体育设施场地条件，根据社会体育指导员的专业技能，各全民健身点以“健身菜单”的形式提供不同种类的社会体育指导。</w:t>
            </w:r>
          </w:p>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乡镇全民健身示范点创建。与“健身菜单”结合，根据场地设施条件创建乡镇全民健身示范点。</w:t>
            </w:r>
          </w:p>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特殊群体服务。充分利用公共体育设施资源，为老年人、青少年、残疾人提供针对性的健身指导服务。保障特殊人群享受公共体育设施、开展体育运动的权利。</w:t>
            </w:r>
          </w:p>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与文化、健康机构、基层组织的联动。利用基本公共体育设施的便利性开展文化活动，健康知识指导培训等工作。</w:t>
            </w:r>
          </w:p>
        </w:tc>
      </w:tr>
    </w:tbl>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基本公共服务体育设施原则上由政府财政资金补贴运营、维护、能源等费用。由各级别体育主管部门监督相关体育设施的运营管理及安全问题。</w:t>
      </w:r>
    </w:p>
    <w:p>
      <w:pPr>
        <w:spacing w:line="550" w:lineRule="exact"/>
        <w:ind w:firstLine="640" w:firstLineChars="200"/>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98" w:name="_Toc25767"/>
      <w:bookmarkStart w:id="99" w:name="_Toc31695"/>
      <w:r>
        <w:rPr>
          <w:rFonts w:hint="eastAsia" w:ascii="方正楷体_GBK" w:hAnsi="方正楷体_GBK" w:eastAsia="方正楷体_GBK" w:cs="方正楷体_GBK"/>
          <w:color w:val="000000" w:themeColor="text1"/>
          <w:sz w:val="32"/>
          <w:szCs w:val="32"/>
          <w14:textFill>
            <w14:solidFill>
              <w14:schemeClr w14:val="tx1"/>
            </w14:solidFill>
          </w14:textFill>
        </w:rPr>
        <w:t>第三节  非基本公共体育服务设施发展策略</w:t>
      </w:r>
      <w:bookmarkEnd w:id="98"/>
      <w:bookmarkEnd w:id="99"/>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非基本公共体育服务具有较强的个性化，是体育消费市场的重要商品，也是非基本公共体育设施主要承载对象，其实施和运营应逐步交由市场化运作。</w:t>
      </w:r>
    </w:p>
    <w:p>
      <w:pPr>
        <w:spacing w:line="55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鼓励培育市场主体参与各类体育场地设施、体育公园的建设。鼓励利用闲置厂房、仓储用房、商服设施、非体育用地、闲置用地等改建为体育服务综合体，并给予相应政策优惠。鼓励社会资本投资，拓宽非基本公共体育设施建设经费来源渠道。</w:t>
      </w:r>
    </w:p>
    <w:p>
      <w:pPr>
        <w:pStyle w:val="6"/>
        <w:spacing w:after="0" w:line="550" w:lineRule="exact"/>
        <w:ind w:firstLine="616" w:firstLineChars="200"/>
        <w:rPr>
          <w:rFonts w:ascii="方正仿宋_GBK" w:hAnsi="方正仿宋_GBK" w:eastAsia="方正仿宋_GBK" w:cs="方正仿宋_GBK"/>
          <w:bCs/>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以政府引导、市场主导为主要思路。积极引导社会资本进入场馆运营、竞赛表演、体育培训等产业领域。政府通过分时分段购买服务形式扶持市场主体，逐步形成体育场地自主运营、委托运营、合作运营等多方式融合的局面，将公共体育设施的建设运营进一步推向市场化，提升体育场地的社会效益与经济价值。</w:t>
      </w:r>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明确政府的财政保障责任和分摊比例，以专项财政的形式确定支持公共体育服务支出占财政支出的比重。在运营过程中通过税收、能源费用优惠进行补贴。</w:t>
      </w:r>
    </w:p>
    <w:p>
      <w:pPr>
        <w:spacing w:line="550" w:lineRule="exact"/>
        <w:ind w:firstLine="640" w:firstLineChars="200"/>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100" w:name="_Toc643"/>
      <w:bookmarkStart w:id="101" w:name="_Toc20454"/>
      <w:r>
        <w:rPr>
          <w:rFonts w:hint="eastAsia" w:ascii="方正楷体_GBK" w:hAnsi="方正楷体_GBK" w:eastAsia="方正楷体_GBK" w:cs="方正楷体_GBK"/>
          <w:color w:val="000000" w:themeColor="text1"/>
          <w:sz w:val="32"/>
          <w:szCs w:val="32"/>
          <w14:textFill>
            <w14:solidFill>
              <w14:schemeClr w14:val="tx1"/>
            </w14:solidFill>
          </w14:textFill>
        </w:rPr>
        <w:t>第四节  智能化体育服务管理发展策略</w:t>
      </w:r>
      <w:bookmarkEnd w:id="100"/>
    </w:p>
    <w:bookmarkEnd w:id="101"/>
    <w:p>
      <w:pPr>
        <w:spacing w:line="550" w:lineRule="exact"/>
        <w:ind w:firstLine="616" w:firstLineChars="200"/>
        <w:rPr>
          <w:rFonts w:ascii="方正仿宋_GBK" w:hAnsi="方正仿宋_GBK" w:eastAsia="方正仿宋_GBK" w:cs="方正仿宋_GBK"/>
          <w:bCs/>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6"/>
          <w:sz w:val="32"/>
          <w:szCs w:val="32"/>
          <w14:textFill>
            <w14:solidFill>
              <w14:schemeClr w14:val="tx1"/>
            </w14:solidFill>
          </w14:textFill>
        </w:rPr>
        <w:t>结合“十四五”数字社会建设这一契机，推动宿迁市中心城市公共体育设施信息服务平台搭建。一方面通过智能化管理平台形成场馆预约、管理联动，另一方面将群众体育活动情况、身体健康信息进行数字化存储，以保障及时跟踪掌握健身设施的管理使用情况，为主管部门提供运动健身人群相关信息，提高管理效率。</w:t>
      </w:r>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将科学体育指导与管理平台结合，为群众提供线上、线下相结合的科学体育健身指导活动。</w:t>
      </w:r>
    </w:p>
    <w:tbl>
      <w:tblPr>
        <w:tblStyle w:val="1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6" w:hRule="atLeast"/>
          <w:jc w:val="center"/>
        </w:trPr>
        <w:tc>
          <w:tcPr>
            <w:tcW w:w="9027" w:type="dxa"/>
            <w:vAlign w:val="center"/>
          </w:tcPr>
          <w:p>
            <w:pPr>
              <w:pStyle w:val="6"/>
              <w:spacing w:after="0" w:line="340" w:lineRule="exact"/>
              <w:jc w:val="center"/>
              <w:rPr>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专栏4 推动体育设施智慧化建设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220" w:hRule="atLeast"/>
          <w:jc w:val="center"/>
        </w:trPr>
        <w:tc>
          <w:tcPr>
            <w:tcW w:w="9027" w:type="dxa"/>
          </w:tcPr>
          <w:p>
            <w:pPr>
              <w:pStyle w:val="6"/>
              <w:spacing w:after="0" w:line="340" w:lineRule="exact"/>
              <w:ind w:firstLine="420" w:firstLineChars="200"/>
              <w:rPr>
                <w:rFonts w:ascii="方正仿宋_GBK" w:hAnsi="方正仿宋_GBK" w:eastAsia="方正仿宋_GBK" w:cs="方正仿宋_GBK"/>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建设体育智慧社区试点项目。鼓励启动体育智慧社区的试点工作，以政府投资、“低收费”开放的形式引进装配式健身房，并结合体育智能化信息服务平台，将社区居民开展运动、健身情况数字化存储和个性化利用。</w:t>
            </w:r>
          </w:p>
          <w:p>
            <w:pPr>
              <w:pStyle w:val="6"/>
              <w:spacing w:after="0" w:line="340" w:lineRule="exact"/>
              <w:ind w:firstLine="420" w:firstLineChars="200"/>
              <w:rPr>
                <w:rFonts w:ascii="仿宋" w:hAnsi="仿宋" w:eastAsia="仿宋"/>
                <w:bCs/>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搭建宿迁市公共体育设施智慧管理平台。融入宿迁智慧城市建设。将宿迁市各级体育设施使用的人流量、性别、使用偏好等内容通过“宿迁政务云”平台进行统计分析，通过云平台实现政府部门行政管理更加精细化、企业产品开发更具针对性以及群众健身服务提质增效。</w:t>
            </w:r>
          </w:p>
        </w:tc>
      </w:tr>
    </w:tbl>
    <w:p>
      <w:pPr>
        <w:pStyle w:val="5"/>
        <w:keepNext w:val="0"/>
        <w:keepLines w:val="0"/>
        <w:numPr>
          <w:ilvl w:val="0"/>
          <w:numId w:val="0"/>
        </w:numPr>
        <w:spacing w:before="156" w:beforeLines="50" w:after="0" w:line="550" w:lineRule="exact"/>
        <w:jc w:val="center"/>
        <w:rPr>
          <w:rFonts w:ascii="方正黑体_GBK" w:hAnsi="方正黑体_GBK" w:eastAsia="方正黑体_GBK" w:cs="方正黑体_GBK"/>
          <w:b w:val="0"/>
          <w:bCs/>
          <w:color w:val="000000" w:themeColor="text1"/>
          <w:sz w:val="32"/>
          <w:szCs w:val="32"/>
          <w14:textFill>
            <w14:solidFill>
              <w14:schemeClr w14:val="tx1"/>
            </w14:solidFill>
          </w14:textFill>
        </w:rPr>
      </w:pPr>
      <w:bookmarkStart w:id="102" w:name="_Toc15776"/>
      <w:bookmarkStart w:id="103" w:name="_Toc12018"/>
      <w:r>
        <w:rPr>
          <w:rFonts w:hint="eastAsia" w:ascii="方正黑体_GBK" w:hAnsi="方正黑体_GBK" w:eastAsia="方正黑体_GBK" w:cs="方正黑体_GBK"/>
          <w:b w:val="0"/>
          <w:bCs/>
          <w:color w:val="000000" w:themeColor="text1"/>
          <w:sz w:val="32"/>
          <w:szCs w:val="32"/>
          <w14:textFill>
            <w14:solidFill>
              <w14:schemeClr w14:val="tx1"/>
            </w14:solidFill>
          </w14:textFill>
        </w:rPr>
        <w:t>第六章  实施保障</w:t>
      </w:r>
      <w:bookmarkEnd w:id="102"/>
      <w:bookmarkEnd w:id="103"/>
    </w:p>
    <w:p>
      <w:pPr>
        <w:spacing w:line="55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104" w:name="_Toc24145"/>
      <w:bookmarkStart w:id="105" w:name="_Toc18333"/>
      <w:r>
        <w:rPr>
          <w:rFonts w:hint="eastAsia" w:ascii="方正楷体_GBK" w:hAnsi="方正楷体_GBK" w:eastAsia="方正楷体_GBK" w:cs="方正楷体_GBK"/>
          <w:color w:val="000000" w:themeColor="text1"/>
          <w:sz w:val="32"/>
          <w:szCs w:val="32"/>
          <w14:textFill>
            <w14:solidFill>
              <w14:schemeClr w14:val="tx1"/>
            </w14:solidFill>
          </w14:textFill>
        </w:rPr>
        <w:t>第一节  政策保障</w:t>
      </w:r>
      <w:bookmarkEnd w:id="104"/>
      <w:bookmarkEnd w:id="105"/>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06" w:name="_Toc29724"/>
      <w:bookmarkStart w:id="107" w:name="_Toc31993"/>
      <w:r>
        <w:rPr>
          <w:rFonts w:hint="eastAsia" w:ascii="方正仿宋_GBK" w:hAnsi="方正仿宋_GBK" w:eastAsia="方正仿宋_GBK" w:cs="方正仿宋_GBK"/>
          <w:bCs/>
          <w:color w:val="000000" w:themeColor="text1"/>
          <w:sz w:val="32"/>
          <w:szCs w:val="32"/>
          <w14:textFill>
            <w14:solidFill>
              <w14:schemeClr w14:val="tx1"/>
            </w14:solidFill>
          </w14:textFill>
        </w:rPr>
        <w:t>加强组织保障</w:t>
      </w:r>
      <w:bookmarkEnd w:id="106"/>
      <w:r>
        <w:rPr>
          <w:rFonts w:hint="eastAsia" w:ascii="方正仿宋_GBK" w:hAnsi="方正仿宋_GBK" w:eastAsia="方正仿宋_GBK" w:cs="方正仿宋_GBK"/>
          <w:bCs/>
          <w:color w:val="000000" w:themeColor="text1"/>
          <w:sz w:val="32"/>
          <w:szCs w:val="32"/>
          <w14:textFill>
            <w14:solidFill>
              <w14:schemeClr w14:val="tx1"/>
            </w14:solidFill>
          </w14:textFill>
        </w:rPr>
        <w:t>。一是通过宿迁市全民健身委员会工作机制进一步落实体育场地设施的规划建设和提升改造工作。二是建立更加完备的协会组织，各类体育设施积极承办行业协会、社区体育协会活动，通过各类协会、社团组织的自发性活动和自律性管理，激发体育设施活力。</w:t>
      </w:r>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注重规划先行</w:t>
      </w:r>
      <w:bookmarkEnd w:id="107"/>
      <w:r>
        <w:rPr>
          <w:rFonts w:hint="eastAsia" w:ascii="方正仿宋_GBK" w:hAnsi="方正仿宋_GBK" w:eastAsia="方正仿宋_GBK" w:cs="方正仿宋_GBK"/>
          <w:bCs/>
          <w:color w:val="000000" w:themeColor="text1"/>
          <w:sz w:val="32"/>
          <w:szCs w:val="32"/>
          <w14:textFill>
            <w14:solidFill>
              <w14:schemeClr w14:val="tx1"/>
            </w14:solidFill>
          </w14:textFill>
        </w:rPr>
        <w:t>。一是与社会经济发展规划相衔接，充分体现未来五年社会经济发展规划中有关体育设施的基础性作用以及财政投入比重。二是与国土空间规划衔接，体育基础设施建设纳入城乡建设规划，在城市空间发展中预留体育用地、体育场地。三是与城市体育发展规划相结合，在未来体育发展中有效发挥公共体育服务体系的作用。</w:t>
      </w:r>
    </w:p>
    <w:p>
      <w:pPr>
        <w:spacing w:line="550" w:lineRule="exact"/>
        <w:jc w:val="center"/>
        <w:outlineLvl w:val="1"/>
        <w:rPr>
          <w:rFonts w:ascii="方正楷体_GBK" w:hAnsi="方正楷体_GBK" w:eastAsia="方正楷体_GBK" w:cs="方正楷体_GBK"/>
          <w:color w:val="000000" w:themeColor="text1"/>
          <w:sz w:val="32"/>
          <w:szCs w:val="32"/>
          <w14:textFill>
            <w14:solidFill>
              <w14:schemeClr w14:val="tx1"/>
            </w14:solidFill>
          </w14:textFill>
        </w:rPr>
      </w:pPr>
      <w:bookmarkStart w:id="108" w:name="_Toc21882"/>
      <w:bookmarkStart w:id="109" w:name="_Toc7716"/>
      <w:r>
        <w:rPr>
          <w:rFonts w:hint="eastAsia" w:ascii="方正楷体_GBK" w:hAnsi="方正楷体_GBK" w:eastAsia="方正楷体_GBK" w:cs="方正楷体_GBK"/>
          <w:color w:val="000000" w:themeColor="text1"/>
          <w:sz w:val="32"/>
          <w:szCs w:val="32"/>
          <w14:textFill>
            <w14:solidFill>
              <w14:schemeClr w14:val="tx1"/>
            </w14:solidFill>
          </w14:textFill>
        </w:rPr>
        <w:t>第二节  资源保障</w:t>
      </w:r>
      <w:bookmarkEnd w:id="108"/>
      <w:bookmarkEnd w:id="109"/>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10" w:name="_Toc30654"/>
      <w:r>
        <w:rPr>
          <w:rFonts w:hint="eastAsia" w:ascii="方正仿宋_GBK" w:hAnsi="方正仿宋_GBK" w:eastAsia="方正仿宋_GBK" w:cs="方正仿宋_GBK"/>
          <w:bCs/>
          <w:color w:val="000000" w:themeColor="text1"/>
          <w:sz w:val="32"/>
          <w:szCs w:val="32"/>
          <w14:textFill>
            <w14:solidFill>
              <w14:schemeClr w14:val="tx1"/>
            </w14:solidFill>
          </w14:textFill>
        </w:rPr>
        <w:t>资金保障</w:t>
      </w:r>
      <w:bookmarkEnd w:id="110"/>
      <w:r>
        <w:rPr>
          <w:rFonts w:hint="eastAsia" w:ascii="方正仿宋_GBK" w:hAnsi="方正仿宋_GBK" w:eastAsia="方正仿宋_GBK" w:cs="方正仿宋_GBK"/>
          <w:bCs/>
          <w:color w:val="000000" w:themeColor="text1"/>
          <w:sz w:val="32"/>
          <w:szCs w:val="32"/>
          <w14:textFill>
            <w14:solidFill>
              <w14:schemeClr w14:val="tx1"/>
            </w14:solidFill>
          </w14:textFill>
        </w:rPr>
        <w:t xml:space="preserve">。将体育经费列入本级财政预算。鼓励社会资本参与投资建设并依法按约定享受相应权益。落实社会体育指导员经费以及群众性赛事活动经费。通过政府购买服务的方式保持公共体育场馆和经营性体育场馆公益性开放。 </w:t>
      </w:r>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11" w:name="_Toc11727"/>
      <w:r>
        <w:rPr>
          <w:rFonts w:hint="eastAsia" w:ascii="方正仿宋_GBK" w:hAnsi="方正仿宋_GBK" w:eastAsia="方正仿宋_GBK" w:cs="方正仿宋_GBK"/>
          <w:bCs/>
          <w:color w:val="000000" w:themeColor="text1"/>
          <w:sz w:val="32"/>
          <w:szCs w:val="32"/>
          <w14:textFill>
            <w14:solidFill>
              <w14:schemeClr w14:val="tx1"/>
            </w14:solidFill>
          </w14:textFill>
        </w:rPr>
        <w:t>土地保障</w:t>
      </w:r>
      <w:bookmarkEnd w:id="111"/>
      <w:r>
        <w:rPr>
          <w:rFonts w:hint="eastAsia" w:ascii="方正仿宋_GBK" w:hAnsi="方正仿宋_GBK" w:eastAsia="方正仿宋_GBK" w:cs="方正仿宋_GBK"/>
          <w:bCs/>
          <w:color w:val="000000" w:themeColor="text1"/>
          <w:sz w:val="32"/>
          <w:szCs w:val="32"/>
          <w14:textFill>
            <w14:solidFill>
              <w14:schemeClr w14:val="tx1"/>
            </w14:solidFill>
          </w14:textFill>
        </w:rPr>
        <w:t>。依法保障体育用地供给，确保体育用地不挪作他用。充分挖掘城市“金角银边”以及现有</w:t>
      </w:r>
      <w:r>
        <w:rPr>
          <w:rFonts w:hint="eastAsia" w:ascii="方正仿宋_GBK" w:hAnsi="方正仿宋_GBK" w:eastAsia="方正仿宋_GBK" w:cs="方正仿宋_GBK"/>
          <w:bCs/>
          <w:sz w:val="32"/>
          <w:szCs w:val="32"/>
        </w:rPr>
        <w:t>闲置</w:t>
      </w:r>
      <w:r>
        <w:rPr>
          <w:rFonts w:hint="eastAsia" w:ascii="方正仿宋_GBK" w:hAnsi="方正仿宋_GBK" w:eastAsia="方正仿宋_GBK" w:cs="方正仿宋_GBK"/>
          <w:bCs/>
          <w:color w:val="000000" w:themeColor="text1"/>
          <w:sz w:val="32"/>
          <w:szCs w:val="32"/>
          <w14:textFill>
            <w14:solidFill>
              <w14:schemeClr w14:val="tx1"/>
            </w14:solidFill>
          </w14:textFill>
        </w:rPr>
        <w:t>厂房、仓储用房、商服设施等空间进行体育设施的改建或临时布设，扩大供给。</w:t>
      </w:r>
    </w:p>
    <w:p>
      <w:pPr>
        <w:spacing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12" w:name="_Toc9519"/>
      <w:r>
        <w:rPr>
          <w:rFonts w:hint="eastAsia" w:ascii="方正仿宋_GBK" w:hAnsi="方正仿宋_GBK" w:eastAsia="方正仿宋_GBK" w:cs="方正仿宋_GBK"/>
          <w:bCs/>
          <w:color w:val="000000" w:themeColor="text1"/>
          <w:sz w:val="32"/>
          <w:szCs w:val="32"/>
          <w14:textFill>
            <w14:solidFill>
              <w14:schemeClr w14:val="tx1"/>
            </w14:solidFill>
          </w14:textFill>
        </w:rPr>
        <w:t>人才保障</w:t>
      </w:r>
      <w:bookmarkEnd w:id="112"/>
      <w:r>
        <w:rPr>
          <w:rFonts w:hint="eastAsia" w:ascii="方正仿宋_GBK" w:hAnsi="方正仿宋_GBK" w:eastAsia="方正仿宋_GBK" w:cs="方正仿宋_GBK"/>
          <w:bCs/>
          <w:color w:val="000000" w:themeColor="text1"/>
          <w:sz w:val="32"/>
          <w:szCs w:val="32"/>
          <w14:textFill>
            <w14:solidFill>
              <w14:schemeClr w14:val="tx1"/>
            </w14:solidFill>
          </w14:textFill>
        </w:rPr>
        <w:t>。一是各类运动项目注重社会体育指导员的培养和发展，有效指导基层群众体育活动开展。二是注重体育场地、赛事运营管理人员的培养和引进。</w:t>
      </w:r>
    </w:p>
    <w:p>
      <w:pPr>
        <w:spacing w:line="550" w:lineRule="exact"/>
        <w:jc w:val="center"/>
        <w:outlineLvl w:val="1"/>
        <w:rPr>
          <w:rFonts w:ascii="方正楷体_GBK" w:hAnsi="方正楷体_GBK" w:eastAsia="方正楷体_GBK" w:cs="方正楷体_GBK"/>
          <w:bCs/>
          <w:color w:val="000000" w:themeColor="text1"/>
          <w:sz w:val="32"/>
          <w:szCs w:val="32"/>
          <w14:textFill>
            <w14:solidFill>
              <w14:schemeClr w14:val="tx1"/>
            </w14:solidFill>
          </w14:textFill>
        </w:rPr>
      </w:pPr>
      <w:bookmarkStart w:id="113" w:name="_Toc28934"/>
      <w:bookmarkStart w:id="114" w:name="_Toc16289"/>
      <w:r>
        <w:rPr>
          <w:rFonts w:hint="eastAsia" w:ascii="方正楷体_GBK" w:hAnsi="方正楷体_GBK" w:eastAsia="方正楷体_GBK" w:cs="方正楷体_GBK"/>
          <w:bCs/>
          <w:color w:val="000000" w:themeColor="text1"/>
          <w:sz w:val="32"/>
          <w:szCs w:val="32"/>
          <w14:textFill>
            <w14:solidFill>
              <w14:schemeClr w14:val="tx1"/>
            </w14:solidFill>
          </w14:textFill>
        </w:rPr>
        <w:t>第三节  安全责任</w:t>
      </w:r>
      <w:bookmarkEnd w:id="113"/>
      <w:bookmarkEnd w:id="114"/>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完善各类体育场地设施安全管理办法。根据体育场地设施的层级以及设施选配内容不同，编制体育场地设施安全管理办法，规范各类体育场地设施的安全使用。</w:t>
      </w:r>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15" w:name="_Toc32041"/>
      <w:r>
        <w:rPr>
          <w:rFonts w:hint="eastAsia" w:ascii="方正仿宋_GBK" w:hAnsi="方正仿宋_GBK" w:eastAsia="方正仿宋_GBK" w:cs="方正仿宋_GBK"/>
          <w:bCs/>
          <w:color w:val="000000" w:themeColor="text1"/>
          <w:sz w:val="32"/>
          <w:szCs w:val="32"/>
          <w14:textFill>
            <w14:solidFill>
              <w14:schemeClr w14:val="tx1"/>
            </w14:solidFill>
          </w14:textFill>
        </w:rPr>
        <w:t>加强体育行业安全监管</w:t>
      </w:r>
      <w:bookmarkEnd w:id="115"/>
      <w:r>
        <w:rPr>
          <w:rFonts w:hint="eastAsia" w:ascii="方正仿宋_GBK" w:hAnsi="方正仿宋_GBK" w:eastAsia="方正仿宋_GBK" w:cs="方正仿宋_GBK"/>
          <w:bCs/>
          <w:color w:val="000000" w:themeColor="text1"/>
          <w:sz w:val="32"/>
          <w:szCs w:val="32"/>
          <w14:textFill>
            <w14:solidFill>
              <w14:schemeClr w14:val="tx1"/>
            </w14:solidFill>
          </w14:textFill>
        </w:rPr>
        <w:t>。加强体育行业内部的安全责任监管，定期检查体育场地设施的安全管理情况，并将出现安全问题或存在安全隐患的体育场地设施进行通报，责令整改。</w:t>
      </w:r>
    </w:p>
    <w:p>
      <w:pPr>
        <w:pStyle w:val="6"/>
        <w:spacing w:after="0" w:line="55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bookmarkStart w:id="116" w:name="_Toc23701"/>
      <w:r>
        <w:rPr>
          <w:rFonts w:hint="eastAsia" w:ascii="方正仿宋_GBK" w:hAnsi="方正仿宋_GBK" w:eastAsia="方正仿宋_GBK" w:cs="方正仿宋_GBK"/>
          <w:bCs/>
          <w:color w:val="000000" w:themeColor="text1"/>
          <w:sz w:val="32"/>
          <w:szCs w:val="32"/>
          <w14:textFill>
            <w14:solidFill>
              <w14:schemeClr w14:val="tx1"/>
            </w14:solidFill>
          </w14:textFill>
        </w:rPr>
        <w:t>落实各行业安全责任</w:t>
      </w:r>
      <w:bookmarkEnd w:id="116"/>
      <w:r>
        <w:rPr>
          <w:rFonts w:hint="eastAsia" w:ascii="方正仿宋_GBK" w:hAnsi="方正仿宋_GBK" w:eastAsia="方正仿宋_GBK" w:cs="方正仿宋_GBK"/>
          <w:bCs/>
          <w:color w:val="000000" w:themeColor="text1"/>
          <w:sz w:val="32"/>
          <w:szCs w:val="32"/>
          <w14:textFill>
            <w14:solidFill>
              <w14:schemeClr w14:val="tx1"/>
            </w14:solidFill>
          </w14:textFill>
        </w:rPr>
        <w:t>。其他行政部门对体育场地设施提出相应监督管理和责任落实的政策，督导体育场地设施的安全使用。</w:t>
      </w:r>
    </w:p>
    <w:p>
      <w:pPr>
        <w:spacing w:line="550" w:lineRule="exact"/>
        <w:rPr>
          <w:rFonts w:ascii="方正仿宋_GBK" w:hAnsi="方正仿宋_GBK" w:eastAsia="方正仿宋_GBK" w:cs="方正仿宋_GBK"/>
          <w:bCs/>
          <w:color w:val="000000" w:themeColor="text1"/>
          <w:sz w:val="32"/>
          <w:szCs w:val="32"/>
          <w14:textFill>
            <w14:solidFill>
              <w14:schemeClr w14:val="tx1"/>
            </w14:solidFill>
          </w14:textFill>
        </w:rPr>
      </w:pPr>
    </w:p>
    <w:p>
      <w:pPr>
        <w:pStyle w:val="6"/>
        <w:spacing w:after="0" w:line="550" w:lineRule="exact"/>
        <w:ind w:firstLine="640" w:firstLineChars="2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 xml:space="preserve">附件：1. </w:t>
      </w:r>
      <w:r>
        <w:rPr>
          <w:rFonts w:hint="eastAsia" w:ascii="方正仿宋_GBK" w:hAnsi="方正仿宋_GBK" w:eastAsia="方正仿宋_GBK" w:cs="方正仿宋_GBK"/>
          <w:bCs/>
          <w:color w:val="000000" w:themeColor="text1"/>
          <w:sz w:val="32"/>
          <w:szCs w:val="32"/>
          <w14:textFill>
            <w14:solidFill>
              <w14:schemeClr w14:val="tx1"/>
            </w14:solidFill>
          </w14:textFill>
        </w:rPr>
        <w:t>宿迁市中心城市“十四五”公共体育设施规划目</w:t>
      </w:r>
    </w:p>
    <w:p>
      <w:pPr>
        <w:pStyle w:val="6"/>
        <w:spacing w:after="0" w:line="550" w:lineRule="exact"/>
        <w:ind w:firstLine="2000" w:firstLineChars="625"/>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标分解任务</w:t>
      </w:r>
    </w:p>
    <w:p>
      <w:pPr>
        <w:pStyle w:val="6"/>
        <w:numPr>
          <w:ilvl w:val="0"/>
          <w:numId w:val="2"/>
        </w:numPr>
        <w:spacing w:after="0" w:line="550" w:lineRule="exact"/>
        <w:ind w:firstLine="1600" w:firstLineChars="500"/>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宿迁市中心城市“十四五”公共体育设施实施项</w:t>
      </w:r>
    </w:p>
    <w:p>
      <w:pPr>
        <w:pStyle w:val="6"/>
        <w:spacing w:after="0" w:line="550" w:lineRule="exact"/>
        <w:ind w:firstLine="2000" w:firstLineChars="625"/>
        <w:jc w:val="left"/>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目清单</w:t>
      </w:r>
    </w:p>
    <w:p>
      <w:pPr>
        <w:pStyle w:val="2"/>
        <w:ind w:firstLine="640"/>
        <w:jc w:val="left"/>
        <w:rPr>
          <w:rFonts w:ascii="方正仿宋_GBK" w:hAnsi="方正仿宋_GBK" w:eastAsia="方正仿宋_GBK" w:cs="方正仿宋_GBK"/>
          <w:szCs w:val="32"/>
        </w:rPr>
      </w:pPr>
    </w:p>
    <w:p>
      <w:pPr>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br w:type="page"/>
      </w:r>
    </w:p>
    <w:p>
      <w:pPr>
        <w:pStyle w:val="6"/>
        <w:spacing w:after="0"/>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附件1</w:t>
      </w:r>
    </w:p>
    <w:p>
      <w:pPr>
        <w:pStyle w:val="6"/>
        <w:spacing w:after="0" w:line="53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宿迁市中心城市“十四五”公共体育设施</w:t>
      </w:r>
    </w:p>
    <w:p>
      <w:pPr>
        <w:pStyle w:val="6"/>
        <w:spacing w:after="0" w:line="53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规划目标分解任务</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1"/>
        <w:gridCol w:w="669"/>
        <w:gridCol w:w="1234"/>
        <w:gridCol w:w="720"/>
        <w:gridCol w:w="678"/>
        <w:gridCol w:w="1157"/>
        <w:gridCol w:w="1028"/>
        <w:gridCol w:w="1310"/>
        <w:gridCol w:w="127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exact"/>
          <w:tblHeader/>
          <w:jc w:val="center"/>
        </w:trPr>
        <w:tc>
          <w:tcPr>
            <w:tcW w:w="531"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序号</w:t>
            </w:r>
          </w:p>
        </w:tc>
        <w:tc>
          <w:tcPr>
            <w:tcW w:w="1903" w:type="dxa"/>
            <w:gridSpan w:val="2"/>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场地（设施）类型</w:t>
            </w:r>
          </w:p>
        </w:tc>
        <w:tc>
          <w:tcPr>
            <w:tcW w:w="720"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属性</w:t>
            </w:r>
          </w:p>
        </w:tc>
        <w:tc>
          <w:tcPr>
            <w:tcW w:w="678"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指标</w:t>
            </w:r>
          </w:p>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类型</w:t>
            </w:r>
          </w:p>
        </w:tc>
        <w:tc>
          <w:tcPr>
            <w:tcW w:w="1157"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中心城市“十四五”规划目标</w:t>
            </w:r>
          </w:p>
        </w:tc>
        <w:tc>
          <w:tcPr>
            <w:tcW w:w="1028"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单位</w:t>
            </w:r>
          </w:p>
        </w:tc>
        <w:tc>
          <w:tcPr>
            <w:tcW w:w="1310"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行政区</w:t>
            </w:r>
          </w:p>
        </w:tc>
        <w:tc>
          <w:tcPr>
            <w:tcW w:w="1277"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“十三五”期末实际</w:t>
            </w:r>
          </w:p>
        </w:tc>
        <w:tc>
          <w:tcPr>
            <w:tcW w:w="754" w:type="dxa"/>
            <w:vAlign w:val="center"/>
          </w:tcPr>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2025年目标</w:t>
            </w:r>
          </w:p>
          <w:p>
            <w:pPr>
              <w:pStyle w:val="6"/>
              <w:spacing w:after="0" w:line="240" w:lineRule="exact"/>
              <w:jc w:val="center"/>
              <w:rPr>
                <w:rFonts w:ascii="方正黑体_GBK" w:hAnsi="方正黑体_GBK" w:eastAsia="方正黑体_GBK" w:cs="方正黑体_GBK"/>
                <w:bCs/>
                <w:color w:val="000000" w:themeColor="text1"/>
                <w:szCs w:val="21"/>
                <w14:textFill>
                  <w14:solidFill>
                    <w14:schemeClr w14:val="tx1"/>
                  </w14:solidFill>
                </w14:textFill>
              </w:rPr>
            </w:pPr>
            <w:r>
              <w:rPr>
                <w:rFonts w:hint="eastAsia" w:ascii="方正黑体_GBK" w:hAnsi="方正黑体_GBK" w:eastAsia="方正黑体_GBK" w:cs="方正黑体_GBK"/>
                <w:bCs/>
                <w:color w:val="000000" w:themeColor="text1"/>
                <w:szCs w:val="21"/>
                <w14:textFill>
                  <w14:solidFill>
                    <w14:schemeClr w14:val="tx1"/>
                  </w14:solidFill>
                </w14:textFill>
              </w:rPr>
              <w:t>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exact"/>
          <w:jc w:val="center"/>
        </w:trPr>
        <w:tc>
          <w:tcPr>
            <w:tcW w:w="531"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1903" w:type="dxa"/>
            <w:gridSpan w:val="2"/>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新增体育场地面积</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预期性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30.48</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万平方米</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220.88</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251.16</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41.30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ascii="方正仿宋_GBK" w:hAnsi="方正仿宋_GBK" w:eastAsia="方正仿宋_GBK" w:cs="方正仿宋_GBK"/>
                <w:color w:val="000000" w:themeColor="text1"/>
                <w:szCs w:val="21"/>
                <w14:textFill>
                  <w14:solidFill>
                    <w14:schemeClr w14:val="tx1"/>
                  </w14:solidFill>
                </w14:textFill>
              </w:rPr>
              <w:t>4</w:t>
            </w:r>
            <w:r>
              <w:rPr>
                <w:rFonts w:hint="eastAsia" w:ascii="方正仿宋_GBK" w:hAnsi="方正仿宋_GBK" w:eastAsia="方正仿宋_GBK" w:cs="方正仿宋_GBK"/>
                <w:color w:val="000000" w:themeColor="text1"/>
                <w:szCs w:val="21"/>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85.55</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5.06</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24.42</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 w:hRule="exact"/>
          <w:jc w:val="center"/>
        </w:trPr>
        <w:tc>
          <w:tcPr>
            <w:tcW w:w="531"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669"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体育公园（新建/改扩建）</w:t>
            </w:r>
          </w:p>
        </w:tc>
        <w:tc>
          <w:tcPr>
            <w:tcW w:w="1234"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市级/区级（占地面积不低于6万平方米）</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不少于</w:t>
            </w:r>
            <w:r>
              <w:rPr>
                <w:rFonts w:ascii="方正仿宋_GBK" w:hAnsi="方正仿宋_GBK" w:eastAsia="方正仿宋_GBK" w:cs="方正仿宋_GBK"/>
                <w:color w:val="000000" w:themeColor="text1"/>
                <w:szCs w:val="21"/>
                <w14:textFill>
                  <w14:solidFill>
                    <w14:schemeClr w14:val="tx1"/>
                  </w14:solidFill>
                </w14:textFill>
              </w:rPr>
              <w:t>4</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shd w:val="clear" w:color="auto" w:fill="auto"/>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市直</w:t>
            </w:r>
          </w:p>
        </w:tc>
        <w:tc>
          <w:tcPr>
            <w:tcW w:w="1277"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区级（占地面积不低于4万平方米，至少包含一个足球场）</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不少于4</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新建镇（街道）级</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不少于</w:t>
            </w:r>
            <w:r>
              <w:rPr>
                <w:rFonts w:ascii="方正仿宋_GBK" w:hAnsi="方正仿宋_GBK" w:eastAsia="方正仿宋_GBK" w:cs="方正仿宋_GBK"/>
                <w:color w:val="000000" w:themeColor="text1"/>
                <w:szCs w:val="21"/>
                <w14:textFill>
                  <w14:solidFill>
                    <w14:schemeClr w14:val="tx1"/>
                  </w14:solidFill>
                </w14:textFill>
              </w:rPr>
              <w:t>4</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12</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69"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23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shd w:val="clear" w:color="auto" w:fill="auto"/>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w:t>
            </w:r>
          </w:p>
        </w:tc>
        <w:tc>
          <w:tcPr>
            <w:tcW w:w="1903" w:type="dxa"/>
            <w:gridSpan w:val="2"/>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行政村（社区）公共体育设施</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拥有率</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72.5%</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89.63%</w:t>
            </w:r>
          </w:p>
        </w:tc>
        <w:tc>
          <w:tcPr>
            <w:tcW w:w="754"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68.5%</w:t>
            </w:r>
          </w:p>
        </w:tc>
        <w:tc>
          <w:tcPr>
            <w:tcW w:w="75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81.2%</w:t>
            </w:r>
          </w:p>
        </w:tc>
        <w:tc>
          <w:tcPr>
            <w:tcW w:w="75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77.3%</w:t>
            </w:r>
          </w:p>
        </w:tc>
        <w:tc>
          <w:tcPr>
            <w:tcW w:w="75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100%</w:t>
            </w:r>
          </w:p>
        </w:tc>
        <w:tc>
          <w:tcPr>
            <w:tcW w:w="75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34.8%</w:t>
            </w:r>
          </w:p>
        </w:tc>
        <w:tc>
          <w:tcPr>
            <w:tcW w:w="754"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1903" w:type="dxa"/>
            <w:gridSpan w:val="2"/>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健身步道</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约束性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新增</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60</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公里</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257.12</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11</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200.2</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1903" w:type="dxa"/>
            <w:gridSpan w:val="2"/>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区级、镇（街道）级其他公共体育设施（新建或改扩建）</w:t>
            </w:r>
          </w:p>
        </w:tc>
        <w:tc>
          <w:tcPr>
            <w:tcW w:w="720"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预期性</w:t>
            </w:r>
          </w:p>
        </w:tc>
        <w:tc>
          <w:tcPr>
            <w:tcW w:w="67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增量</w:t>
            </w:r>
          </w:p>
        </w:tc>
        <w:tc>
          <w:tcPr>
            <w:tcW w:w="1157"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1028" w:type="dxa"/>
            <w:vMerge w:val="restart"/>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个</w:t>
            </w: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宿城区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宿豫区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宿迁经开区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市湖滨新区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苏宿工业园区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531"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903" w:type="dxa"/>
            <w:gridSpan w:val="2"/>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67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157"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028" w:type="dxa"/>
            <w:vMerge w:val="continue"/>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310" w:type="dxa"/>
            <w:vAlign w:val="center"/>
          </w:tcPr>
          <w:p>
            <w:pPr>
              <w:spacing w:line="240" w:lineRule="exact"/>
              <w:jc w:val="center"/>
              <w:rPr>
                <w:rFonts w:ascii="方正仿宋_GBK" w:hAnsi="方正仿宋_GBK" w:eastAsia="方正仿宋_GBK" w:cs="方正仿宋_GBK"/>
                <w:color w:val="000000" w:themeColor="text1"/>
                <w:spacing w:val="-1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市洋河新区</w:t>
            </w:r>
          </w:p>
        </w:tc>
        <w:tc>
          <w:tcPr>
            <w:tcW w:w="1277"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c>
          <w:tcPr>
            <w:tcW w:w="754" w:type="dxa"/>
            <w:vAlign w:val="center"/>
          </w:tcPr>
          <w:p>
            <w:pPr>
              <w:spacing w:line="24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w:t>
            </w:r>
          </w:p>
        </w:tc>
      </w:tr>
    </w:tbl>
    <w:p>
      <w:pPr>
        <w:pStyle w:val="6"/>
        <w:spacing w:after="0" w:line="340" w:lineRule="exact"/>
        <w:ind w:firstLine="44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 w:val="22"/>
          <w:szCs w:val="22"/>
          <w14:textFill>
            <w14:solidFill>
              <w14:schemeClr w14:val="tx1"/>
            </w14:solidFill>
          </w14:textFill>
        </w:rPr>
        <w:t>注：约束性指标为必须完成内容，预期性指标为可根据实际情况调整完成目标的内容</w:t>
      </w:r>
      <w:r>
        <w:rPr>
          <w:rFonts w:hint="eastAsia" w:ascii="方正仿宋_GBK" w:hAnsi="方正仿宋_GBK" w:eastAsia="方正仿宋_GBK" w:cs="方正仿宋_GBK"/>
          <w:color w:val="000000" w:themeColor="text1"/>
          <w:szCs w:val="21"/>
          <w14:textFill>
            <w14:solidFill>
              <w14:schemeClr w14:val="tx1"/>
            </w14:solidFill>
          </w14:textFill>
        </w:rPr>
        <w:t>※中心城市“十四五”规划目标指宿城区、宿豫区、宿迁经济开发区、市湖滨新区、市洋河新区、苏宿工业园区六个区域“十四五”期间需完成的任务指标。表中“0”表示统计结果为无该类项目，“-”表示该类项目暂未单独统计或暂无实施计划。</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after="0"/>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附件2</w:t>
      </w:r>
    </w:p>
    <w:p>
      <w:pPr>
        <w:pStyle w:val="6"/>
        <w:spacing w:before="156" w:beforeLines="50" w:after="0" w:line="53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宿迁市中心城市“十四五”公共体育设施</w:t>
      </w:r>
    </w:p>
    <w:p>
      <w:pPr>
        <w:pStyle w:val="6"/>
        <w:spacing w:after="0" w:line="53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实施项目清单</w:t>
      </w:r>
    </w:p>
    <w:p>
      <w:pPr>
        <w:pStyle w:val="6"/>
        <w:spacing w:after="0" w:line="280" w:lineRule="exact"/>
        <w:rPr>
          <w:rFonts w:ascii="方正仿宋_GBK" w:hAnsi="宋体" w:eastAsia="方正仿宋_GBK"/>
          <w:color w:val="000000" w:themeColor="text1"/>
          <w:sz w:val="36"/>
          <w:szCs w:val="36"/>
          <w14:textFill>
            <w14:solidFill>
              <w14:schemeClr w14:val="tx1"/>
            </w14:solidFill>
          </w14:textFill>
        </w:rPr>
      </w:pPr>
    </w:p>
    <w:p>
      <w:pPr>
        <w:pStyle w:val="6"/>
        <w:spacing w:after="0"/>
        <w:jc w:val="lef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一、体育公园</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2"/>
        <w:gridCol w:w="1081"/>
        <w:gridCol w:w="1666"/>
        <w:gridCol w:w="743"/>
        <w:gridCol w:w="1264"/>
        <w:gridCol w:w="669"/>
        <w:gridCol w:w="838"/>
        <w:gridCol w:w="111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atLeast"/>
          <w:tblHeader/>
          <w:jc w:val="center"/>
        </w:trPr>
        <w:tc>
          <w:tcPr>
            <w:tcW w:w="522"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序号</w:t>
            </w:r>
          </w:p>
        </w:tc>
        <w:tc>
          <w:tcPr>
            <w:tcW w:w="1081"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所属</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行政区</w:t>
            </w:r>
          </w:p>
        </w:tc>
        <w:tc>
          <w:tcPr>
            <w:tcW w:w="1666"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项目名称</w:t>
            </w:r>
          </w:p>
        </w:tc>
        <w:tc>
          <w:tcPr>
            <w:tcW w:w="743"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级别</w:t>
            </w:r>
          </w:p>
        </w:tc>
        <w:tc>
          <w:tcPr>
            <w:tcW w:w="1264"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拟选址</w:t>
            </w:r>
          </w:p>
        </w:tc>
        <w:tc>
          <w:tcPr>
            <w:tcW w:w="669"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建设</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性质</w:t>
            </w:r>
          </w:p>
        </w:tc>
        <w:tc>
          <w:tcPr>
            <w:tcW w:w="838"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占地</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面积</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（平方米）</w:t>
            </w:r>
          </w:p>
        </w:tc>
        <w:tc>
          <w:tcPr>
            <w:tcW w:w="1116"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新增体育休闲用地面积（平方米）</w:t>
            </w:r>
          </w:p>
        </w:tc>
        <w:tc>
          <w:tcPr>
            <w:tcW w:w="967" w:type="dxa"/>
            <w:vAlign w:val="center"/>
          </w:tcPr>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拟投资</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规模</w:t>
            </w:r>
          </w:p>
          <w:p>
            <w:pPr>
              <w:spacing w:line="24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522"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1</w:t>
            </w:r>
          </w:p>
        </w:tc>
        <w:tc>
          <w:tcPr>
            <w:tcW w:w="1081"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宿城区</w:t>
            </w:r>
          </w:p>
        </w:tc>
        <w:tc>
          <w:tcPr>
            <w:tcW w:w="1666"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宿迁市通湖大道景观大道公园</w:t>
            </w:r>
          </w:p>
        </w:tc>
        <w:tc>
          <w:tcPr>
            <w:tcW w:w="743"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市级</w:t>
            </w:r>
          </w:p>
        </w:tc>
        <w:tc>
          <w:tcPr>
            <w:tcW w:w="1264"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通湖大道两侧</w:t>
            </w:r>
          </w:p>
        </w:tc>
        <w:tc>
          <w:tcPr>
            <w:tcW w:w="669"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65000</w:t>
            </w:r>
          </w:p>
        </w:tc>
        <w:tc>
          <w:tcPr>
            <w:tcW w:w="1116"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8000</w:t>
            </w:r>
          </w:p>
        </w:tc>
        <w:tc>
          <w:tcPr>
            <w:tcW w:w="967" w:type="dxa"/>
            <w:vAlign w:val="center"/>
          </w:tcPr>
          <w:p>
            <w:pPr>
              <w:spacing w:line="24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西楚大道景观绿化体育公园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西楚大道西侧，北外环和北京路之间</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116054</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30000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市湖滨新区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三台山森林公园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现三台山森林公园内员工宿舍楼旁</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改扩建</w:t>
            </w:r>
          </w:p>
        </w:tc>
        <w:tc>
          <w:tcPr>
            <w:tcW w:w="838" w:type="dxa"/>
            <w:vAlign w:val="center"/>
          </w:tcPr>
          <w:p>
            <w:pPr>
              <w:spacing w:line="240" w:lineRule="exact"/>
              <w:jc w:val="center"/>
              <w:rPr>
                <w:rFonts w:ascii="方正仿宋_GBK" w:eastAsia="方正仿宋_GBK" w:hAnsi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olor w:val="000000" w:themeColor="text1"/>
                <w:spacing w:val="-11"/>
                <w:sz w:val="20"/>
                <w:szCs w:val="20"/>
                <w14:textFill>
                  <w14:solidFill>
                    <w14:schemeClr w14:val="tx1"/>
                  </w14:solidFill>
                </w14:textFill>
              </w:rPr>
              <w:t>12700000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ascii="方正仿宋_GBK" w:eastAsia="方正仿宋_GBK" w:hAnsiTheme="minorEastAsia"/>
                <w:color w:val="000000" w:themeColor="text1"/>
                <w:sz w:val="20"/>
                <w:szCs w:val="20"/>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4</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市洋河新区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体育水景公园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发展大道与梦都大道交汇处</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改扩建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99200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4100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ascii="方正仿宋_GBK" w:eastAsia="方正仿宋_GBK" w:hAnsiTheme="minorEastAsia"/>
                <w:color w:val="000000" w:themeColor="text1"/>
                <w:sz w:val="20"/>
                <w:szCs w:val="20"/>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4"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庐山路体育公园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庐山路以南、庐山路小学</w:t>
            </w:r>
          </w:p>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路东</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58000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18000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6</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中运河外湾</w:t>
            </w:r>
          </w:p>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体育公园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运河二号桥</w:t>
            </w:r>
          </w:p>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以北</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90000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26000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22"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7</w:t>
            </w:r>
          </w:p>
        </w:tc>
        <w:tc>
          <w:tcPr>
            <w:tcW w:w="1081"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宿迁经开区</w:t>
            </w:r>
          </w:p>
        </w:tc>
        <w:tc>
          <w:tcPr>
            <w:tcW w:w="1666"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古楚公园</w:t>
            </w:r>
          </w:p>
        </w:tc>
        <w:tc>
          <w:tcPr>
            <w:tcW w:w="743"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264"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古楚街道</w:t>
            </w:r>
          </w:p>
        </w:tc>
        <w:tc>
          <w:tcPr>
            <w:tcW w:w="669"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56666</w:t>
            </w:r>
          </w:p>
        </w:tc>
        <w:tc>
          <w:tcPr>
            <w:tcW w:w="1116"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15000</w:t>
            </w:r>
          </w:p>
        </w:tc>
        <w:tc>
          <w:tcPr>
            <w:tcW w:w="967"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8</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市湖滨新区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山水绿廊公园—体育运动公园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山水绿廊公园内（共计5个园构成，体育运动公园是其中一个园）</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改扩建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120000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120000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天柱路体育公园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镇（街道）级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庐山路城市之家南侧</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50000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7000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2"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w:t>
            </w:r>
          </w:p>
        </w:tc>
        <w:tc>
          <w:tcPr>
            <w:tcW w:w="1081"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宿迁经开区</w:t>
            </w:r>
          </w:p>
        </w:tc>
        <w:tc>
          <w:tcPr>
            <w:tcW w:w="1666"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南蔡体育公园</w:t>
            </w:r>
          </w:p>
        </w:tc>
        <w:tc>
          <w:tcPr>
            <w:tcW w:w="743"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镇（街道）级</w:t>
            </w:r>
          </w:p>
        </w:tc>
        <w:tc>
          <w:tcPr>
            <w:tcW w:w="1264"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南蔡乡北大街与育才路交</w:t>
            </w:r>
          </w:p>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汇处</w:t>
            </w:r>
          </w:p>
        </w:tc>
        <w:tc>
          <w:tcPr>
            <w:tcW w:w="669"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8000</w:t>
            </w:r>
          </w:p>
        </w:tc>
        <w:tc>
          <w:tcPr>
            <w:tcW w:w="1116"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3000</w:t>
            </w:r>
          </w:p>
        </w:tc>
        <w:tc>
          <w:tcPr>
            <w:tcW w:w="967"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2" w:type="dxa"/>
            <w:vAlign w:val="center"/>
          </w:tcPr>
          <w:p>
            <w:pPr>
              <w:spacing w:line="24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11</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苏宿工业</w:t>
            </w:r>
          </w:p>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园区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pacing w:val="-11"/>
                <w:sz w:val="20"/>
                <w:szCs w:val="20"/>
                <w14:textFill>
                  <w14:solidFill>
                    <w14:schemeClr w14:val="tx1"/>
                  </w14:solidFill>
                </w14:textFill>
              </w:rPr>
              <w:t>通达大道运动微公园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社区邻里级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通达大道西侧，临近西湖西路</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6300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5000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jc w:val="center"/>
        </w:trPr>
        <w:tc>
          <w:tcPr>
            <w:tcW w:w="522"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w:t>
            </w:r>
          </w:p>
        </w:tc>
        <w:tc>
          <w:tcPr>
            <w:tcW w:w="1081"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市洋河新区</w:t>
            </w:r>
          </w:p>
        </w:tc>
        <w:tc>
          <w:tcPr>
            <w:tcW w:w="166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五河体育公园</w:t>
            </w:r>
          </w:p>
        </w:tc>
        <w:tc>
          <w:tcPr>
            <w:tcW w:w="743"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镇（街道）级</w:t>
            </w:r>
          </w:p>
        </w:tc>
        <w:tc>
          <w:tcPr>
            <w:tcW w:w="1264"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五河与张码社区交汇处</w:t>
            </w:r>
          </w:p>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东北角</w:t>
            </w:r>
          </w:p>
        </w:tc>
        <w:tc>
          <w:tcPr>
            <w:tcW w:w="669"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838"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5000</w:t>
            </w:r>
          </w:p>
        </w:tc>
        <w:tc>
          <w:tcPr>
            <w:tcW w:w="1116"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2100</w:t>
            </w:r>
          </w:p>
        </w:tc>
        <w:tc>
          <w:tcPr>
            <w:tcW w:w="967" w:type="dxa"/>
            <w:vAlign w:val="center"/>
          </w:tcPr>
          <w:p>
            <w:pPr>
              <w:spacing w:line="240" w:lineRule="exact"/>
              <w:jc w:val="center"/>
              <w:rPr>
                <w:rFonts w:ascii="方正仿宋_GBK" w:eastAsia="方正仿宋_GBK" w:hAnsiTheme="minorEastAsia"/>
                <w:color w:val="000000" w:themeColor="text1"/>
                <w:sz w:val="20"/>
                <w:szCs w:val="20"/>
                <w14:textFill>
                  <w14:solidFill>
                    <w14:schemeClr w14:val="tx1"/>
                  </w14:solidFill>
                </w14:textFill>
              </w:rPr>
            </w:pPr>
            <w:r>
              <w:rPr>
                <w:rFonts w:ascii="方正仿宋_GBK" w:eastAsia="方正仿宋_GBK" w:hAnsiTheme="minorEastAsia"/>
                <w:color w:val="000000" w:themeColor="text1"/>
                <w:sz w:val="20"/>
                <w:szCs w:val="20"/>
                <w14:textFill>
                  <w14:solidFill>
                    <w14:schemeClr w14:val="tx1"/>
                  </w14:solidFill>
                </w14:textFill>
              </w:rPr>
              <w:t>300</w:t>
            </w:r>
          </w:p>
        </w:tc>
      </w:tr>
    </w:tbl>
    <w:p>
      <w:pPr>
        <w:pStyle w:val="6"/>
        <w:spacing w:after="0" w:line="530" w:lineRule="exact"/>
        <w:jc w:val="lef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二、健身步道</w:t>
      </w:r>
    </w:p>
    <w:tbl>
      <w:tblPr>
        <w:tblStyle w:val="1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94"/>
        <w:gridCol w:w="1018"/>
        <w:gridCol w:w="2261"/>
        <w:gridCol w:w="2092"/>
        <w:gridCol w:w="654"/>
        <w:gridCol w:w="95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1" w:hRule="atLeast"/>
          <w:tblHeader/>
          <w:jc w:val="center"/>
        </w:trPr>
        <w:tc>
          <w:tcPr>
            <w:tcW w:w="694"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序号</w:t>
            </w:r>
          </w:p>
        </w:tc>
        <w:tc>
          <w:tcPr>
            <w:tcW w:w="1018"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所属</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行政区</w:t>
            </w:r>
          </w:p>
        </w:tc>
        <w:tc>
          <w:tcPr>
            <w:tcW w:w="2261"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项目名称</w:t>
            </w:r>
          </w:p>
        </w:tc>
        <w:tc>
          <w:tcPr>
            <w:tcW w:w="2092"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拟选址</w:t>
            </w:r>
          </w:p>
        </w:tc>
        <w:tc>
          <w:tcPr>
            <w:tcW w:w="654"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建设性质</w:t>
            </w:r>
          </w:p>
        </w:tc>
        <w:tc>
          <w:tcPr>
            <w:tcW w:w="953"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新增长度（公里）</w:t>
            </w:r>
          </w:p>
        </w:tc>
        <w:tc>
          <w:tcPr>
            <w:tcW w:w="1265"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拟投资规模</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0" w:hRule="atLeast"/>
          <w:tblHeader/>
          <w:jc w:val="center"/>
        </w:trPr>
        <w:tc>
          <w:tcPr>
            <w:tcW w:w="69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w:t>
            </w:r>
          </w:p>
        </w:tc>
        <w:tc>
          <w:tcPr>
            <w:tcW w:w="101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226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中运河健身步道</w:t>
            </w:r>
          </w:p>
        </w:tc>
        <w:tc>
          <w:tcPr>
            <w:tcW w:w="2092"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运河二号桥北中运河外湾至三号桥之间</w:t>
            </w:r>
          </w:p>
        </w:tc>
        <w:tc>
          <w:tcPr>
            <w:tcW w:w="65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w:t>
            </w:r>
          </w:p>
        </w:tc>
        <w:tc>
          <w:tcPr>
            <w:tcW w:w="126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8" w:hRule="atLeast"/>
          <w:tblHeader/>
          <w:jc w:val="center"/>
        </w:trPr>
        <w:tc>
          <w:tcPr>
            <w:tcW w:w="69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w:t>
            </w:r>
          </w:p>
        </w:tc>
        <w:tc>
          <w:tcPr>
            <w:tcW w:w="101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226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尚阳湖公园健身步道</w:t>
            </w:r>
          </w:p>
        </w:tc>
        <w:tc>
          <w:tcPr>
            <w:tcW w:w="2092"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尚阳湖小区北侧</w:t>
            </w:r>
          </w:p>
        </w:tc>
        <w:tc>
          <w:tcPr>
            <w:tcW w:w="65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w:t>
            </w:r>
          </w:p>
        </w:tc>
        <w:tc>
          <w:tcPr>
            <w:tcW w:w="126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3" w:hRule="atLeast"/>
          <w:tblHeader/>
          <w:jc w:val="center"/>
        </w:trPr>
        <w:tc>
          <w:tcPr>
            <w:tcW w:w="69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w:t>
            </w:r>
          </w:p>
        </w:tc>
        <w:tc>
          <w:tcPr>
            <w:tcW w:w="101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226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牡丹江公园健身步道</w:t>
            </w:r>
          </w:p>
        </w:tc>
        <w:tc>
          <w:tcPr>
            <w:tcW w:w="2092"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牡丹江路东侧</w:t>
            </w:r>
          </w:p>
        </w:tc>
        <w:tc>
          <w:tcPr>
            <w:tcW w:w="65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w:t>
            </w:r>
          </w:p>
        </w:tc>
        <w:tc>
          <w:tcPr>
            <w:tcW w:w="126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1" w:hRule="atLeast"/>
          <w:tblHeader/>
          <w:jc w:val="center"/>
        </w:trPr>
        <w:tc>
          <w:tcPr>
            <w:tcW w:w="69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4</w:t>
            </w:r>
          </w:p>
        </w:tc>
        <w:tc>
          <w:tcPr>
            <w:tcW w:w="101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226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西楚大道健身步道</w:t>
            </w:r>
          </w:p>
        </w:tc>
        <w:tc>
          <w:tcPr>
            <w:tcW w:w="2092"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西楚大道西侧，北外环和北京路之间</w:t>
            </w:r>
          </w:p>
        </w:tc>
        <w:tc>
          <w:tcPr>
            <w:tcW w:w="65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8</w:t>
            </w:r>
          </w:p>
        </w:tc>
        <w:tc>
          <w:tcPr>
            <w:tcW w:w="126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1" w:hRule="atLeast"/>
          <w:tblHeader/>
          <w:jc w:val="center"/>
        </w:trPr>
        <w:tc>
          <w:tcPr>
            <w:tcW w:w="69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w:t>
            </w:r>
          </w:p>
        </w:tc>
        <w:tc>
          <w:tcPr>
            <w:tcW w:w="1018" w:type="dxa"/>
            <w:vAlign w:val="center"/>
          </w:tcPr>
          <w:p>
            <w:pPr>
              <w:spacing w:line="260" w:lineRule="exact"/>
              <w:jc w:val="center"/>
              <w:textAlignment w:val="baseline"/>
              <w:rPr>
                <w:rFonts w:ascii="方正仿宋_GBK" w:eastAsia="方正仿宋_GBK" w:hAnsi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olor w:val="000000" w:themeColor="text1"/>
                <w:spacing w:val="-11"/>
                <w:sz w:val="20"/>
                <w:szCs w:val="20"/>
                <w14:textFill>
                  <w14:solidFill>
                    <w14:schemeClr w14:val="tx1"/>
                  </w14:solidFill>
                </w14:textFill>
              </w:rPr>
              <w:t>宿迁经开区</w:t>
            </w:r>
          </w:p>
        </w:tc>
        <w:tc>
          <w:tcPr>
            <w:tcW w:w="2261"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虞姬公园健身步道</w:t>
            </w:r>
          </w:p>
        </w:tc>
        <w:tc>
          <w:tcPr>
            <w:tcW w:w="2092"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虞姬公园</w:t>
            </w:r>
          </w:p>
        </w:tc>
        <w:tc>
          <w:tcPr>
            <w:tcW w:w="65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5.5</w:t>
            </w:r>
          </w:p>
        </w:tc>
        <w:tc>
          <w:tcPr>
            <w:tcW w:w="1265"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1" w:hRule="atLeast"/>
          <w:tblHeader/>
          <w:jc w:val="center"/>
        </w:trPr>
        <w:tc>
          <w:tcPr>
            <w:tcW w:w="69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6</w:t>
            </w:r>
          </w:p>
        </w:tc>
        <w:tc>
          <w:tcPr>
            <w:tcW w:w="1018"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w:t>
            </w:r>
            <w:r>
              <w:rPr>
                <w:rFonts w:hint="eastAsia" w:ascii="方正仿宋_GBK" w:eastAsia="方正仿宋_GBK" w:hAnsiTheme="minorEastAsia"/>
                <w:color w:val="000000" w:themeColor="text1"/>
                <w:spacing w:val="-11"/>
                <w:sz w:val="20"/>
                <w:szCs w:val="20"/>
                <w14:textFill>
                  <w14:solidFill>
                    <w14:schemeClr w14:val="tx1"/>
                  </w14:solidFill>
                </w14:textFill>
              </w:rPr>
              <w:t>迁经开区</w:t>
            </w:r>
          </w:p>
        </w:tc>
        <w:tc>
          <w:tcPr>
            <w:tcW w:w="2261"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古楚公园健身步道</w:t>
            </w:r>
          </w:p>
        </w:tc>
        <w:tc>
          <w:tcPr>
            <w:tcW w:w="2092"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古楚街道</w:t>
            </w:r>
          </w:p>
        </w:tc>
        <w:tc>
          <w:tcPr>
            <w:tcW w:w="65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3.5</w:t>
            </w:r>
          </w:p>
        </w:tc>
        <w:tc>
          <w:tcPr>
            <w:tcW w:w="1265"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1" w:hRule="atLeast"/>
          <w:tblHeader/>
          <w:jc w:val="center"/>
        </w:trPr>
        <w:tc>
          <w:tcPr>
            <w:tcW w:w="69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7</w:t>
            </w:r>
          </w:p>
        </w:tc>
        <w:tc>
          <w:tcPr>
            <w:tcW w:w="1018" w:type="dxa"/>
            <w:vAlign w:val="center"/>
          </w:tcPr>
          <w:p>
            <w:pPr>
              <w:spacing w:line="260" w:lineRule="exact"/>
              <w:jc w:val="center"/>
              <w:textAlignment w:val="baseline"/>
              <w:rPr>
                <w:rFonts w:ascii="方正仿宋_GBK" w:eastAsia="方正仿宋_GBK" w:hAnsi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olor w:val="000000" w:themeColor="text1"/>
                <w:spacing w:val="-11"/>
                <w:sz w:val="20"/>
                <w:szCs w:val="20"/>
                <w14:textFill>
                  <w14:solidFill>
                    <w14:schemeClr w14:val="tx1"/>
                  </w14:solidFill>
                </w14:textFill>
              </w:rPr>
              <w:t>宿迁经开区</w:t>
            </w:r>
          </w:p>
        </w:tc>
        <w:tc>
          <w:tcPr>
            <w:tcW w:w="2261"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南蔡体育公园健身步道</w:t>
            </w:r>
          </w:p>
        </w:tc>
        <w:tc>
          <w:tcPr>
            <w:tcW w:w="2092"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南蔡乡北大街</w:t>
            </w:r>
          </w:p>
        </w:tc>
        <w:tc>
          <w:tcPr>
            <w:tcW w:w="654"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53"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w:t>
            </w:r>
          </w:p>
        </w:tc>
        <w:tc>
          <w:tcPr>
            <w:tcW w:w="1265" w:type="dxa"/>
            <w:vAlign w:val="center"/>
          </w:tcPr>
          <w:p>
            <w:pPr>
              <w:spacing w:line="260" w:lineRule="exact"/>
              <w:jc w:val="center"/>
              <w:textAlignment w:val="baseline"/>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59" w:hRule="atLeast"/>
          <w:tblHeader/>
          <w:jc w:val="center"/>
        </w:trPr>
        <w:tc>
          <w:tcPr>
            <w:tcW w:w="69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8</w:t>
            </w:r>
          </w:p>
        </w:tc>
        <w:tc>
          <w:tcPr>
            <w:tcW w:w="101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市</w:t>
            </w:r>
            <w:r>
              <w:rPr>
                <w:rFonts w:hint="eastAsia" w:ascii="方正仿宋_GBK" w:eastAsia="方正仿宋_GBK" w:hAnsiTheme="minorEastAsia"/>
                <w:color w:val="000000" w:themeColor="text1"/>
                <w:spacing w:val="-11"/>
                <w:sz w:val="20"/>
                <w:szCs w:val="20"/>
                <w14:textFill>
                  <w14:solidFill>
                    <w14:schemeClr w14:val="tx1"/>
                  </w14:solidFill>
                </w14:textFill>
              </w:rPr>
              <w:t>洋河新区</w:t>
            </w:r>
          </w:p>
        </w:tc>
        <w:tc>
          <w:tcPr>
            <w:tcW w:w="226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健身步道</w:t>
            </w:r>
          </w:p>
        </w:tc>
        <w:tc>
          <w:tcPr>
            <w:tcW w:w="2092"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古黄河廊道</w:t>
            </w:r>
          </w:p>
        </w:tc>
        <w:tc>
          <w:tcPr>
            <w:tcW w:w="65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改建</w:t>
            </w:r>
          </w:p>
        </w:tc>
        <w:tc>
          <w:tcPr>
            <w:tcW w:w="953"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w:t>
            </w:r>
          </w:p>
        </w:tc>
        <w:tc>
          <w:tcPr>
            <w:tcW w:w="126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200</w:t>
            </w:r>
          </w:p>
        </w:tc>
      </w:tr>
    </w:tbl>
    <w:p>
      <w:pPr>
        <w:pStyle w:val="6"/>
        <w:spacing w:after="0" w:line="530" w:lineRule="exact"/>
        <w:jc w:val="lef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三、区级、镇（街道）级体育设施</w:t>
      </w:r>
    </w:p>
    <w:tbl>
      <w:tblPr>
        <w:tblStyle w:val="1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38"/>
        <w:gridCol w:w="884"/>
        <w:gridCol w:w="939"/>
        <w:gridCol w:w="821"/>
        <w:gridCol w:w="1405"/>
        <w:gridCol w:w="706"/>
        <w:gridCol w:w="928"/>
        <w:gridCol w:w="914"/>
        <w:gridCol w:w="85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59" w:hRule="atLeast"/>
          <w:tblHeader/>
          <w:jc w:val="center"/>
        </w:trPr>
        <w:tc>
          <w:tcPr>
            <w:tcW w:w="538"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序号</w:t>
            </w:r>
          </w:p>
        </w:tc>
        <w:tc>
          <w:tcPr>
            <w:tcW w:w="884"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所属</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行政区</w:t>
            </w:r>
          </w:p>
        </w:tc>
        <w:tc>
          <w:tcPr>
            <w:tcW w:w="939"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项目名称</w:t>
            </w:r>
          </w:p>
        </w:tc>
        <w:tc>
          <w:tcPr>
            <w:tcW w:w="821"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级别</w:t>
            </w:r>
          </w:p>
        </w:tc>
        <w:tc>
          <w:tcPr>
            <w:tcW w:w="1405"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拟选址</w:t>
            </w:r>
          </w:p>
        </w:tc>
        <w:tc>
          <w:tcPr>
            <w:tcW w:w="706"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建设</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性质</w:t>
            </w:r>
          </w:p>
        </w:tc>
        <w:tc>
          <w:tcPr>
            <w:tcW w:w="928"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占地</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面积（平方米）</w:t>
            </w:r>
          </w:p>
        </w:tc>
        <w:tc>
          <w:tcPr>
            <w:tcW w:w="914"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总建筑面积（平方米）</w:t>
            </w:r>
          </w:p>
        </w:tc>
        <w:tc>
          <w:tcPr>
            <w:tcW w:w="855"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新增体育场地面积（平方米）</w:t>
            </w:r>
          </w:p>
        </w:tc>
        <w:tc>
          <w:tcPr>
            <w:tcW w:w="985" w:type="dxa"/>
            <w:vAlign w:val="center"/>
          </w:tcPr>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拟投资</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规模</w:t>
            </w:r>
          </w:p>
          <w:p>
            <w:pPr>
              <w:spacing w:line="26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21" w:hRule="atLeast"/>
          <w:tblHeader/>
          <w:jc w:val="center"/>
        </w:trPr>
        <w:tc>
          <w:tcPr>
            <w:tcW w:w="53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w:t>
            </w:r>
          </w:p>
        </w:tc>
        <w:tc>
          <w:tcPr>
            <w:tcW w:w="88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宿豫区</w:t>
            </w:r>
          </w:p>
        </w:tc>
        <w:tc>
          <w:tcPr>
            <w:tcW w:w="939" w:type="dxa"/>
            <w:vAlign w:val="center"/>
          </w:tcPr>
          <w:p>
            <w:pPr>
              <w:spacing w:line="260" w:lineRule="exact"/>
              <w:jc w:val="center"/>
              <w:rPr>
                <w:rFonts w:ascii="方正仿宋_GBK" w:eastAsia="方正仿宋_GBK" w:hAnsiTheme="minorEastAsia" w:cs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stheme="minorEastAsia"/>
                <w:color w:val="000000" w:themeColor="text1"/>
                <w:spacing w:val="-11"/>
                <w:sz w:val="20"/>
                <w:szCs w:val="20"/>
                <w14:textFill>
                  <w14:solidFill>
                    <w14:schemeClr w14:val="tx1"/>
                  </w14:solidFill>
                </w14:textFill>
              </w:rPr>
              <w:t>宿豫区体育中心</w:t>
            </w:r>
          </w:p>
        </w:tc>
        <w:tc>
          <w:tcPr>
            <w:tcW w:w="82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40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原宿豫区体育馆、宿豫一中、文昌小学</w:t>
            </w:r>
          </w:p>
        </w:tc>
        <w:tc>
          <w:tcPr>
            <w:tcW w:w="706"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2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102710</w:t>
            </w:r>
          </w:p>
        </w:tc>
        <w:tc>
          <w:tcPr>
            <w:tcW w:w="91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90000</w:t>
            </w:r>
          </w:p>
        </w:tc>
        <w:tc>
          <w:tcPr>
            <w:tcW w:w="85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90000</w:t>
            </w:r>
          </w:p>
        </w:tc>
        <w:tc>
          <w:tcPr>
            <w:tcW w:w="98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70" w:hRule="atLeast"/>
          <w:tblHeader/>
          <w:jc w:val="center"/>
        </w:trPr>
        <w:tc>
          <w:tcPr>
            <w:tcW w:w="53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w:t>
            </w:r>
          </w:p>
        </w:tc>
        <w:tc>
          <w:tcPr>
            <w:tcW w:w="88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苏宿工业园区</w:t>
            </w:r>
          </w:p>
        </w:tc>
        <w:tc>
          <w:tcPr>
            <w:tcW w:w="939" w:type="dxa"/>
            <w:vAlign w:val="center"/>
          </w:tcPr>
          <w:p>
            <w:pPr>
              <w:spacing w:line="260" w:lineRule="exact"/>
              <w:jc w:val="center"/>
              <w:rPr>
                <w:rFonts w:ascii="方正仿宋_GBK" w:eastAsia="方正仿宋_GBK" w:hAnsiTheme="minorEastAsia" w:cs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stheme="minorEastAsia"/>
                <w:color w:val="000000" w:themeColor="text1"/>
                <w:spacing w:val="-11"/>
                <w:sz w:val="20"/>
                <w:szCs w:val="20"/>
                <w14:textFill>
                  <w14:solidFill>
                    <w14:schemeClr w14:val="tx1"/>
                  </w14:solidFill>
                </w14:textFill>
              </w:rPr>
              <w:t>苏宿文体综合体</w:t>
            </w:r>
          </w:p>
        </w:tc>
        <w:tc>
          <w:tcPr>
            <w:tcW w:w="821"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区级</w:t>
            </w:r>
          </w:p>
        </w:tc>
        <w:tc>
          <w:tcPr>
            <w:tcW w:w="140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独墅湖路与天池山路交叉口东南</w:t>
            </w:r>
          </w:p>
        </w:tc>
        <w:tc>
          <w:tcPr>
            <w:tcW w:w="706"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新建</w:t>
            </w:r>
          </w:p>
        </w:tc>
        <w:tc>
          <w:tcPr>
            <w:tcW w:w="928"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27000</w:t>
            </w:r>
          </w:p>
        </w:tc>
        <w:tc>
          <w:tcPr>
            <w:tcW w:w="914"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w:t>
            </w:r>
          </w:p>
        </w:tc>
        <w:tc>
          <w:tcPr>
            <w:tcW w:w="85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w:t>
            </w:r>
          </w:p>
        </w:tc>
        <w:tc>
          <w:tcPr>
            <w:tcW w:w="985" w:type="dxa"/>
            <w:vAlign w:val="center"/>
          </w:tcPr>
          <w:p>
            <w:pPr>
              <w:spacing w:line="260" w:lineRule="exact"/>
              <w:jc w:val="center"/>
              <w:rPr>
                <w:rFonts w:ascii="方正仿宋_GBK" w:eastAsia="方正仿宋_GBK" w:hAnsiTheme="minorEastAsia"/>
                <w:color w:val="000000" w:themeColor="text1"/>
                <w:sz w:val="20"/>
                <w:szCs w:val="20"/>
                <w14:textFill>
                  <w14:solidFill>
                    <w14:schemeClr w14:val="tx1"/>
                  </w14:solidFill>
                </w14:textFill>
              </w:rPr>
            </w:pPr>
            <w:r>
              <w:rPr>
                <w:rFonts w:hint="eastAsia" w:ascii="方正仿宋_GBK" w:eastAsia="方正仿宋_GBK" w:hAnsi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0" w:hRule="atLeast"/>
          <w:tblHeader/>
          <w:jc w:val="center"/>
        </w:trPr>
        <w:tc>
          <w:tcPr>
            <w:tcW w:w="538"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3</w:t>
            </w:r>
          </w:p>
        </w:tc>
        <w:tc>
          <w:tcPr>
            <w:tcW w:w="884"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宿城区</w:t>
            </w:r>
          </w:p>
        </w:tc>
        <w:tc>
          <w:tcPr>
            <w:tcW w:w="939" w:type="dxa"/>
            <w:vAlign w:val="center"/>
          </w:tcPr>
          <w:p>
            <w:pPr>
              <w:spacing w:line="260" w:lineRule="exact"/>
              <w:jc w:val="center"/>
              <w:rPr>
                <w:rFonts w:ascii="方正仿宋_GBK" w:eastAsia="方正仿宋_GBK" w:hAnsiTheme="minorEastAsia" w:cstheme="minorEastAsia"/>
                <w:color w:val="000000" w:themeColor="text1"/>
                <w:spacing w:val="-11"/>
                <w:sz w:val="20"/>
                <w:szCs w:val="20"/>
                <w14:textFill>
                  <w14:solidFill>
                    <w14:schemeClr w14:val="tx1"/>
                  </w14:solidFill>
                </w14:textFill>
              </w:rPr>
            </w:pPr>
            <w:r>
              <w:rPr>
                <w:rFonts w:hint="eastAsia" w:ascii="方正仿宋_GBK" w:eastAsia="方正仿宋_GBK" w:hAnsiTheme="minorEastAsia" w:cstheme="minorEastAsia"/>
                <w:color w:val="000000" w:themeColor="text1"/>
                <w:spacing w:val="-11"/>
                <w:sz w:val="20"/>
                <w:szCs w:val="20"/>
                <w14:textFill>
                  <w14:solidFill>
                    <w14:schemeClr w14:val="tx1"/>
                  </w14:solidFill>
                </w14:textFill>
              </w:rPr>
              <w:t>龙河镇文体中心</w:t>
            </w:r>
          </w:p>
        </w:tc>
        <w:tc>
          <w:tcPr>
            <w:tcW w:w="821"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镇（街道）级</w:t>
            </w:r>
          </w:p>
        </w:tc>
        <w:tc>
          <w:tcPr>
            <w:tcW w:w="140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龙河镇</w:t>
            </w:r>
          </w:p>
        </w:tc>
        <w:tc>
          <w:tcPr>
            <w:tcW w:w="706"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新建</w:t>
            </w:r>
          </w:p>
        </w:tc>
        <w:tc>
          <w:tcPr>
            <w:tcW w:w="928"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4662</w:t>
            </w:r>
          </w:p>
        </w:tc>
        <w:tc>
          <w:tcPr>
            <w:tcW w:w="914"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6750</w:t>
            </w:r>
          </w:p>
        </w:tc>
        <w:tc>
          <w:tcPr>
            <w:tcW w:w="85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ascii="方正仿宋_GBK" w:eastAsia="方正仿宋_GBK" w:hAnsiTheme="minorEastAsia" w:cstheme="minorEastAsia"/>
                <w:color w:val="000000" w:themeColor="text1"/>
                <w:sz w:val="20"/>
                <w:szCs w:val="20"/>
                <w14:textFill>
                  <w14:solidFill>
                    <w14:schemeClr w14:val="tx1"/>
                  </w14:solidFill>
                </w14:textFill>
              </w:rPr>
              <w:t>2000</w:t>
            </w:r>
          </w:p>
        </w:tc>
        <w:tc>
          <w:tcPr>
            <w:tcW w:w="98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2" w:hRule="atLeast"/>
          <w:tblHeader/>
          <w:jc w:val="center"/>
        </w:trPr>
        <w:tc>
          <w:tcPr>
            <w:tcW w:w="538"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4</w:t>
            </w:r>
          </w:p>
        </w:tc>
        <w:tc>
          <w:tcPr>
            <w:tcW w:w="884"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宿城区</w:t>
            </w:r>
          </w:p>
        </w:tc>
        <w:tc>
          <w:tcPr>
            <w:tcW w:w="939"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pacing w:val="-11"/>
                <w:sz w:val="20"/>
                <w:szCs w:val="20"/>
                <w14:textFill>
                  <w14:solidFill>
                    <w14:schemeClr w14:val="tx1"/>
                  </w14:solidFill>
                </w14:textFill>
              </w:rPr>
              <w:t>洋北镇文体中心</w:t>
            </w:r>
          </w:p>
        </w:tc>
        <w:tc>
          <w:tcPr>
            <w:tcW w:w="821"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镇（街道）级</w:t>
            </w:r>
          </w:p>
        </w:tc>
        <w:tc>
          <w:tcPr>
            <w:tcW w:w="140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洋北街道</w:t>
            </w:r>
          </w:p>
        </w:tc>
        <w:tc>
          <w:tcPr>
            <w:tcW w:w="706"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新建</w:t>
            </w:r>
          </w:p>
        </w:tc>
        <w:tc>
          <w:tcPr>
            <w:tcW w:w="928"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24000</w:t>
            </w:r>
          </w:p>
        </w:tc>
        <w:tc>
          <w:tcPr>
            <w:tcW w:w="914"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12775</w:t>
            </w:r>
          </w:p>
        </w:tc>
        <w:tc>
          <w:tcPr>
            <w:tcW w:w="85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1200</w:t>
            </w:r>
          </w:p>
        </w:tc>
        <w:tc>
          <w:tcPr>
            <w:tcW w:w="985" w:type="dxa"/>
            <w:vAlign w:val="center"/>
          </w:tcPr>
          <w:p>
            <w:pPr>
              <w:spacing w:line="260" w:lineRule="exact"/>
              <w:jc w:val="center"/>
              <w:rPr>
                <w:rFonts w:ascii="方正仿宋_GBK" w:eastAsia="方正仿宋_GBK" w:hAnsiTheme="minorEastAsia" w:cstheme="minorEastAsia"/>
                <w:color w:val="000000" w:themeColor="text1"/>
                <w:sz w:val="20"/>
                <w:szCs w:val="20"/>
                <w14:textFill>
                  <w14:solidFill>
                    <w14:schemeClr w14:val="tx1"/>
                  </w14:solidFill>
                </w14:textFill>
              </w:rPr>
            </w:pPr>
            <w:r>
              <w:rPr>
                <w:rFonts w:hint="eastAsia" w:ascii="方正仿宋_GBK" w:eastAsia="方正仿宋_GBK" w:hAnsiTheme="minorEastAsia" w:cstheme="minorEastAsia"/>
                <w:color w:val="000000" w:themeColor="text1"/>
                <w:sz w:val="20"/>
                <w:szCs w:val="20"/>
                <w14:textFill>
                  <w14:solidFill>
                    <w14:schemeClr w14:val="tx1"/>
                  </w14:solidFill>
                </w14:textFill>
              </w:rPr>
              <w:t>5000</w:t>
            </w:r>
          </w:p>
        </w:tc>
      </w:tr>
    </w:tbl>
    <w:p>
      <w:pPr>
        <w:pStyle w:val="6"/>
        <w:spacing w:after="0" w:line="340" w:lineRule="exact"/>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注：表中“-”表示该项目建设方案仍在规划中，暂无具体数据。</w:t>
      </w:r>
    </w:p>
    <w:p>
      <w:pPr>
        <w:pStyle w:val="3"/>
        <w:rPr>
          <w:color w:val="000000" w:themeColor="text1"/>
          <w14:textFill>
            <w14:solidFill>
              <w14:schemeClr w14:val="tx1"/>
            </w14:solidFill>
          </w14:textFill>
        </w:rPr>
      </w:pPr>
    </w:p>
    <w:p>
      <w:pPr>
        <w:pStyle w:val="20"/>
        <w:spacing w:after="0" w:line="800" w:lineRule="exact"/>
        <w:ind w:firstLine="210"/>
      </w:pPr>
    </w:p>
    <w:p>
      <w:pPr>
        <w:pStyle w:val="20"/>
        <w:spacing w:after="0" w:line="620" w:lineRule="exact"/>
        <w:ind w:firstLine="210"/>
      </w:pPr>
    </w:p>
    <w:p>
      <w:pPr>
        <w:spacing w:line="580" w:lineRule="exact"/>
        <w:ind w:firstLine="210" w:firstLineChars="100"/>
        <w:jc w:val="left"/>
        <w:rPr>
          <w:rFonts w:ascii="Times New Roman" w:hAnsi="Times New Roman" w:eastAsia="方正仿宋_GBK"/>
          <w:bCs/>
          <w:color w:val="000000"/>
          <w:sz w:val="28"/>
          <w:szCs w:val="28"/>
        </w:rPr>
      </w:pPr>
      <w:r>
        <w:rPr>
          <w:rFonts w:ascii="Times New Roman" w:hAnsi="Times New Roman"/>
          <w:bCs/>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ascii="Times New Roman" w:hAnsi="Times New Roman" w:eastAsia="方正仿宋_GBK"/>
          <w:bCs/>
          <w:color w:val="000000"/>
          <w:sz w:val="28"/>
          <w:szCs w:val="28"/>
        </w:rPr>
        <w:t>抄送：市委各部委办</w:t>
      </w:r>
      <w:r>
        <w:rPr>
          <w:rFonts w:ascii="Times New Roman" w:hAnsi="Times New Roman" w:eastAsia="方正仿宋_GBK"/>
          <w:bCs/>
          <w:color w:val="000000"/>
          <w:spacing w:val="-6"/>
          <w:sz w:val="28"/>
          <w:szCs w:val="28"/>
        </w:rPr>
        <w:t>，市人大常委会办公室，市政协办公室，市监委</w:t>
      </w:r>
      <w:r>
        <w:rPr>
          <w:rFonts w:ascii="Times New Roman" w:hAnsi="Times New Roman" w:eastAsia="方正仿宋_GBK"/>
          <w:bCs/>
          <w:color w:val="000000"/>
          <w:sz w:val="28"/>
          <w:szCs w:val="28"/>
        </w:rPr>
        <w:t>，</w:t>
      </w:r>
    </w:p>
    <w:p>
      <w:pPr>
        <w:spacing w:line="580" w:lineRule="exact"/>
        <w:ind w:firstLine="1058" w:firstLineChars="378"/>
        <w:jc w:val="left"/>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市法院，市检察院，宿迁军分区。</w:t>
      </w:r>
    </w:p>
    <w:p>
      <w:pPr>
        <w:spacing w:line="580" w:lineRule="exact"/>
        <w:ind w:firstLine="210" w:firstLineChars="100"/>
        <w:jc w:val="left"/>
      </w:pPr>
      <w:r>
        <w:rPr>
          <w:rFonts w:ascii="Times New Roman" w:hAnsi="Times New Roman"/>
          <w:bCs/>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1" name="直接连接符 1"/>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LZqdOH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pEngzIGlC7//&#10;/OPu09dfP7/Qev/9G5tkkfqANcVeu1U8eBhWMTPetdHmP3FhuyLs/iis2iUmaHN2PpmcXc44E3Q2&#10;nZ0V3as/uSFieq28ZdlouNEu04Yatm8wUT0KfQjJ28axnhqeXbzMkEBD2NLlk2kDEUG3KcnojZY3&#10;2picgnGzvjaRbSEPQvkyLQL+KyxXWQJ2Q1w5GkakUyBfOcnSPpBEjl4Gzz1YJTkzih5StggQ6gTa&#10;nBJJpY3LCaqM6YFo1nlQNltrL/dF8Cp7NAKl48O45hl77JP9+Ik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tmp04fYBAADqAwAADgAAAAAAAAABACAAAAAlAQAAZHJzL2Uyb0RvYy54bWxQ&#10;SwUGAAAAAAYABgBZAQAAjQUAAAAA&#10;">
                <v:fill on="f" focussize="0,0"/>
                <v:stroke weight="1.25pt" color="#000000" joinstyle="round"/>
                <v:imagedata o:title=""/>
                <o:lock v:ext="edit" aspectratio="f"/>
                <w10:anchorlock/>
              </v:line>
            </w:pict>
          </mc:Fallback>
        </mc:AlternateContent>
      </w:r>
      <w:r>
        <w:rPr>
          <w:rFonts w:ascii="Times New Roman" w:hAnsi="Times New Roman"/>
          <w:bCs/>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ascii="Times New Roman" w:hAnsi="Times New Roman" w:eastAsia="方正仿宋_GBK"/>
          <w:bCs/>
          <w:color w:val="000000"/>
          <w:sz w:val="28"/>
          <w:szCs w:val="28"/>
        </w:rPr>
        <w:t xml:space="preserve">宿迁市人民政府办公室         </w:t>
      </w:r>
      <w:r>
        <w:rPr>
          <w:rFonts w:hint="eastAsia" w:ascii="Times New Roman" w:hAnsi="Times New Roman" w:eastAsia="方正仿宋_GBK"/>
          <w:bCs/>
          <w:color w:val="000000"/>
          <w:sz w:val="28"/>
          <w:szCs w:val="28"/>
        </w:rPr>
        <w:t xml:space="preserve">    </w:t>
      </w:r>
      <w:r>
        <w:rPr>
          <w:rFonts w:ascii="Times New Roman" w:hAnsi="Times New Roman" w:eastAsia="方正仿宋_GBK"/>
          <w:bCs/>
          <w:color w:val="000000"/>
          <w:sz w:val="28"/>
          <w:szCs w:val="28"/>
        </w:rPr>
        <w:t xml:space="preserve">        202</w:t>
      </w:r>
      <w:r>
        <w:rPr>
          <w:rFonts w:hint="eastAsia" w:ascii="Times New Roman" w:hAnsi="Times New Roman" w:eastAsia="方正仿宋_GBK"/>
          <w:bCs/>
          <w:color w:val="000000"/>
          <w:sz w:val="28"/>
          <w:szCs w:val="28"/>
        </w:rPr>
        <w:t>2</w:t>
      </w:r>
      <w:r>
        <w:rPr>
          <w:rFonts w:ascii="Times New Roman" w:hAnsi="Times New Roman" w:eastAsia="方正仿宋_GBK"/>
          <w:bCs/>
          <w:color w:val="000000"/>
          <w:sz w:val="28"/>
          <w:szCs w:val="28"/>
        </w:rPr>
        <w:t>年</w:t>
      </w:r>
      <w:r>
        <w:rPr>
          <w:rFonts w:hint="eastAsia" w:ascii="Times New Roman" w:hAnsi="Times New Roman" w:eastAsia="方正仿宋_GBK"/>
          <w:bCs/>
          <w:color w:val="000000"/>
          <w:sz w:val="28"/>
          <w:szCs w:val="28"/>
        </w:rPr>
        <w:t>1</w:t>
      </w:r>
      <w:r>
        <w:rPr>
          <w:rFonts w:ascii="Times New Roman" w:hAnsi="Times New Roman" w:eastAsia="方正仿宋_GBK"/>
          <w:bCs/>
          <w:color w:val="000000"/>
          <w:sz w:val="28"/>
          <w:szCs w:val="28"/>
        </w:rPr>
        <w:t>月</w:t>
      </w:r>
      <w:r>
        <w:rPr>
          <w:rFonts w:hint="eastAsia" w:ascii="Times New Roman" w:hAnsi="Times New Roman" w:eastAsia="方正仿宋_GBK"/>
          <w:bCs/>
          <w:color w:val="000000"/>
          <w:sz w:val="28"/>
          <w:szCs w:val="28"/>
        </w:rPr>
        <w:t>20</w:t>
      </w:r>
      <w:r>
        <w:rPr>
          <w:rFonts w:ascii="Times New Roman" w:hAnsi="Times New Roman" w:eastAsia="方正仿宋_GBK"/>
          <w:bCs/>
          <w:color w:val="000000"/>
          <w:sz w:val="28"/>
          <w:szCs w:val="28"/>
        </w:rPr>
        <w:t>日印发</w:t>
      </w:r>
      <w:bookmarkEnd w:id="22"/>
    </w:p>
    <w:sectPr>
      <w:footerReference r:id="rId4" w:type="default"/>
      <w:pgSz w:w="11906" w:h="16838"/>
      <w:pgMar w:top="2098" w:right="1531" w:bottom="1928"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兰米正黑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315" w:leftChars="150" w:right="315" w:rightChars="150"/>
                            <w:rPr>
                              <w:rFonts w:ascii="Times New Roman" w:hAnsi="Times New Roman" w:eastAsia="方正仿宋_GBK"/>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w:t>
                          </w:r>
                          <w:r>
                            <w:rPr>
                              <w:rFonts w:ascii="Times New Roman" w:hAnsi="Times New Roman" w:eastAsia="方正仿宋_GBK"/>
                              <w:sz w:val="28"/>
                              <w:szCs w:val="28"/>
                            </w:rPr>
                            <w:fldChar w:fldCharType="end"/>
                          </w:r>
                          <w:r>
                            <w:rPr>
                              <w:rFonts w:ascii="Times New Roman" w:hAnsi="Times New Roman" w:eastAsia="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ind w:left="315" w:leftChars="150" w:right="315" w:rightChars="150"/>
                      <w:rPr>
                        <w:rFonts w:ascii="Times New Roman" w:hAnsi="Times New Roman" w:eastAsia="方正仿宋_GBK"/>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w:t>
                    </w:r>
                    <w:r>
                      <w:rPr>
                        <w:rFonts w:ascii="Times New Roman" w:hAnsi="Times New Roman" w:eastAsia="方正仿宋_GBK"/>
                        <w:sz w:val="28"/>
                        <w:szCs w:val="28"/>
                      </w:rPr>
                      <w:fldChar w:fldCharType="end"/>
                    </w:r>
                    <w:r>
                      <w:rPr>
                        <w:rFonts w:ascii="Times New Roman" w:hAnsi="Times New Roman" w:eastAsia="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315" w:leftChars="150" w:right="315" w:right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ind w:left="315" w:leftChars="150" w:right="315" w:right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D1915"/>
    <w:multiLevelType w:val="singleLevel"/>
    <w:tmpl w:val="ABDD1915"/>
    <w:lvl w:ilvl="0" w:tentative="0">
      <w:start w:val="2"/>
      <w:numFmt w:val="decimal"/>
      <w:suff w:val="space"/>
      <w:lvlText w:val="%1."/>
      <w:lvlJc w:val="left"/>
    </w:lvl>
  </w:abstractNum>
  <w:abstractNum w:abstractNumId="1">
    <w:nsid w:val="00000005"/>
    <w:multiLevelType w:val="multilevel"/>
    <w:tmpl w:val="00000005"/>
    <w:lvl w:ilvl="0" w:tentative="0">
      <w:start w:val="1"/>
      <w:numFmt w:val="none"/>
      <w:pStyle w:val="5"/>
      <w:suff w:val="nothing"/>
      <w:lvlText w:val="第一章"/>
      <w:lvlJc w:val="left"/>
      <w:pPr>
        <w:tabs>
          <w:tab w:val="left" w:pos="0"/>
        </w:tabs>
        <w:ind w:left="3150" w:firstLine="0"/>
      </w:pPr>
      <w:rPr>
        <w:rFonts w:hint="eastAsia" w:ascii="宋体" w:hAnsi="宋体" w:eastAsia="宋体" w:cs="宋体"/>
      </w:rPr>
    </w:lvl>
    <w:lvl w:ilvl="1" w:tentative="0">
      <w:start w:val="1"/>
      <w:numFmt w:val="chineseCounting"/>
      <w:suff w:val="nothing"/>
      <w:lvlText w:val="（%2）"/>
      <w:lvlJc w:val="left"/>
      <w:pPr>
        <w:ind w:left="3150" w:firstLine="0"/>
      </w:pPr>
      <w:rPr>
        <w:rFonts w:hint="eastAsia"/>
      </w:rPr>
    </w:lvl>
    <w:lvl w:ilvl="2" w:tentative="0">
      <w:start w:val="1"/>
      <w:numFmt w:val="decimal"/>
      <w:suff w:val="nothing"/>
      <w:lvlText w:val="%3．"/>
      <w:lvlJc w:val="left"/>
      <w:pPr>
        <w:ind w:left="3150" w:firstLine="400"/>
      </w:pPr>
      <w:rPr>
        <w:rFonts w:hint="eastAsia"/>
      </w:rPr>
    </w:lvl>
    <w:lvl w:ilvl="3" w:tentative="0">
      <w:start w:val="1"/>
      <w:numFmt w:val="decimal"/>
      <w:suff w:val="nothing"/>
      <w:lvlText w:val="（%4）"/>
      <w:lvlJc w:val="left"/>
      <w:pPr>
        <w:ind w:left="3150" w:firstLine="402"/>
      </w:pPr>
      <w:rPr>
        <w:rFonts w:hint="eastAsia"/>
      </w:rPr>
    </w:lvl>
    <w:lvl w:ilvl="4" w:tentative="0">
      <w:start w:val="1"/>
      <w:numFmt w:val="decimalEnclosedCircleChinese"/>
      <w:suff w:val="nothing"/>
      <w:lvlText w:val="%5"/>
      <w:lvlJc w:val="left"/>
      <w:pPr>
        <w:ind w:left="3150" w:firstLine="402"/>
      </w:pPr>
      <w:rPr>
        <w:rFonts w:hint="eastAsia"/>
      </w:rPr>
    </w:lvl>
    <w:lvl w:ilvl="5" w:tentative="0">
      <w:start w:val="1"/>
      <w:numFmt w:val="decimal"/>
      <w:suff w:val="nothing"/>
      <w:lvlText w:val="%6）"/>
      <w:lvlJc w:val="left"/>
      <w:pPr>
        <w:ind w:left="3150" w:firstLine="402"/>
      </w:pPr>
      <w:rPr>
        <w:rFonts w:hint="eastAsia"/>
      </w:rPr>
    </w:lvl>
    <w:lvl w:ilvl="6" w:tentative="0">
      <w:start w:val="1"/>
      <w:numFmt w:val="lowerLetter"/>
      <w:suff w:val="nothing"/>
      <w:lvlText w:val="%7．"/>
      <w:lvlJc w:val="left"/>
      <w:pPr>
        <w:ind w:left="3150" w:firstLine="402"/>
      </w:pPr>
      <w:rPr>
        <w:rFonts w:hint="eastAsia"/>
      </w:rPr>
    </w:lvl>
    <w:lvl w:ilvl="7" w:tentative="0">
      <w:start w:val="1"/>
      <w:numFmt w:val="lowerLetter"/>
      <w:suff w:val="nothing"/>
      <w:lvlText w:val="%8）"/>
      <w:lvlJc w:val="left"/>
      <w:pPr>
        <w:ind w:left="3150" w:firstLine="402"/>
      </w:pPr>
      <w:rPr>
        <w:rFonts w:hint="eastAsia"/>
      </w:rPr>
    </w:lvl>
    <w:lvl w:ilvl="8" w:tentative="0">
      <w:start w:val="1"/>
      <w:numFmt w:val="lowerRoman"/>
      <w:suff w:val="nothing"/>
      <w:lvlText w:val="%9 "/>
      <w:lvlJc w:val="left"/>
      <w:pPr>
        <w:ind w:left="315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546143"/>
    <w:rsid w:val="000673FB"/>
    <w:rsid w:val="000A33E1"/>
    <w:rsid w:val="00155DD3"/>
    <w:rsid w:val="001A0362"/>
    <w:rsid w:val="001A242D"/>
    <w:rsid w:val="001B56D8"/>
    <w:rsid w:val="001B698C"/>
    <w:rsid w:val="001E098F"/>
    <w:rsid w:val="001E6F53"/>
    <w:rsid w:val="00203042"/>
    <w:rsid w:val="00217D2F"/>
    <w:rsid w:val="00231175"/>
    <w:rsid w:val="002412CB"/>
    <w:rsid w:val="00243F1A"/>
    <w:rsid w:val="002B4AA4"/>
    <w:rsid w:val="002B6E77"/>
    <w:rsid w:val="002C3ADF"/>
    <w:rsid w:val="003231F5"/>
    <w:rsid w:val="003345C5"/>
    <w:rsid w:val="003450FB"/>
    <w:rsid w:val="003B65B7"/>
    <w:rsid w:val="003B7DA4"/>
    <w:rsid w:val="003E65EF"/>
    <w:rsid w:val="003F52C8"/>
    <w:rsid w:val="0041134C"/>
    <w:rsid w:val="0042066E"/>
    <w:rsid w:val="00462CCF"/>
    <w:rsid w:val="004C413C"/>
    <w:rsid w:val="00505515"/>
    <w:rsid w:val="00511DE5"/>
    <w:rsid w:val="00546143"/>
    <w:rsid w:val="005478FC"/>
    <w:rsid w:val="0057125D"/>
    <w:rsid w:val="00582E30"/>
    <w:rsid w:val="00585E8C"/>
    <w:rsid w:val="005B3E1C"/>
    <w:rsid w:val="005C064C"/>
    <w:rsid w:val="005C2105"/>
    <w:rsid w:val="00645CB9"/>
    <w:rsid w:val="006602B6"/>
    <w:rsid w:val="006678BB"/>
    <w:rsid w:val="00677210"/>
    <w:rsid w:val="00690DFA"/>
    <w:rsid w:val="006A0416"/>
    <w:rsid w:val="006E0FB2"/>
    <w:rsid w:val="006F034F"/>
    <w:rsid w:val="006F712C"/>
    <w:rsid w:val="00703834"/>
    <w:rsid w:val="00714782"/>
    <w:rsid w:val="007274B1"/>
    <w:rsid w:val="00796D6B"/>
    <w:rsid w:val="00796EFF"/>
    <w:rsid w:val="0079790F"/>
    <w:rsid w:val="007D0220"/>
    <w:rsid w:val="0083113E"/>
    <w:rsid w:val="008320BF"/>
    <w:rsid w:val="008564F2"/>
    <w:rsid w:val="00872C98"/>
    <w:rsid w:val="008951BE"/>
    <w:rsid w:val="008D13AA"/>
    <w:rsid w:val="008F13A1"/>
    <w:rsid w:val="009058BB"/>
    <w:rsid w:val="009B25D1"/>
    <w:rsid w:val="009C71C7"/>
    <w:rsid w:val="009E39D8"/>
    <w:rsid w:val="009E70E2"/>
    <w:rsid w:val="00A04DC3"/>
    <w:rsid w:val="00A869AA"/>
    <w:rsid w:val="00BC1E58"/>
    <w:rsid w:val="00BC4EA3"/>
    <w:rsid w:val="00BF4166"/>
    <w:rsid w:val="00C02909"/>
    <w:rsid w:val="00C03D96"/>
    <w:rsid w:val="00C73962"/>
    <w:rsid w:val="00C74F6A"/>
    <w:rsid w:val="00C9183A"/>
    <w:rsid w:val="00CB34A8"/>
    <w:rsid w:val="00CF080E"/>
    <w:rsid w:val="00D94146"/>
    <w:rsid w:val="00DA3ABB"/>
    <w:rsid w:val="00DE071F"/>
    <w:rsid w:val="00DE08E6"/>
    <w:rsid w:val="00DE2E00"/>
    <w:rsid w:val="00E12D15"/>
    <w:rsid w:val="00E42E9B"/>
    <w:rsid w:val="00E67091"/>
    <w:rsid w:val="00E91F49"/>
    <w:rsid w:val="00E967FD"/>
    <w:rsid w:val="00EA027B"/>
    <w:rsid w:val="00EE744F"/>
    <w:rsid w:val="00F00AFF"/>
    <w:rsid w:val="00F05320"/>
    <w:rsid w:val="00F064E7"/>
    <w:rsid w:val="00F242C1"/>
    <w:rsid w:val="00F30F02"/>
    <w:rsid w:val="00F37C5D"/>
    <w:rsid w:val="00F67B19"/>
    <w:rsid w:val="00F7315E"/>
    <w:rsid w:val="00F91923"/>
    <w:rsid w:val="00FD0491"/>
    <w:rsid w:val="00FD7E33"/>
    <w:rsid w:val="01E0649E"/>
    <w:rsid w:val="03F2693C"/>
    <w:rsid w:val="05FD2D0E"/>
    <w:rsid w:val="074121FA"/>
    <w:rsid w:val="08446162"/>
    <w:rsid w:val="09850B7F"/>
    <w:rsid w:val="0C093FB4"/>
    <w:rsid w:val="0D23258A"/>
    <w:rsid w:val="0D475DD6"/>
    <w:rsid w:val="0DC74BB1"/>
    <w:rsid w:val="0EA42E91"/>
    <w:rsid w:val="0EFA6FF3"/>
    <w:rsid w:val="10BE6ECD"/>
    <w:rsid w:val="12844F29"/>
    <w:rsid w:val="12CD0055"/>
    <w:rsid w:val="135463CE"/>
    <w:rsid w:val="13B660AC"/>
    <w:rsid w:val="17B462C1"/>
    <w:rsid w:val="181944D0"/>
    <w:rsid w:val="18F25DD8"/>
    <w:rsid w:val="1D0A6DF3"/>
    <w:rsid w:val="1DD97567"/>
    <w:rsid w:val="1E456D7C"/>
    <w:rsid w:val="20444D28"/>
    <w:rsid w:val="20467FB3"/>
    <w:rsid w:val="206808E0"/>
    <w:rsid w:val="20D44015"/>
    <w:rsid w:val="20DE357A"/>
    <w:rsid w:val="26676E0F"/>
    <w:rsid w:val="27F1199B"/>
    <w:rsid w:val="28010B8E"/>
    <w:rsid w:val="2AD14367"/>
    <w:rsid w:val="2B595479"/>
    <w:rsid w:val="2E113916"/>
    <w:rsid w:val="2F974B8C"/>
    <w:rsid w:val="31AA5977"/>
    <w:rsid w:val="32AF59E7"/>
    <w:rsid w:val="350344C7"/>
    <w:rsid w:val="353528DE"/>
    <w:rsid w:val="365329E0"/>
    <w:rsid w:val="374863F6"/>
    <w:rsid w:val="37644700"/>
    <w:rsid w:val="38B72CB6"/>
    <w:rsid w:val="3B820FDA"/>
    <w:rsid w:val="3CCF5047"/>
    <w:rsid w:val="3FF322B2"/>
    <w:rsid w:val="41BD5F7B"/>
    <w:rsid w:val="429A07C3"/>
    <w:rsid w:val="43811983"/>
    <w:rsid w:val="44641089"/>
    <w:rsid w:val="452C7DF0"/>
    <w:rsid w:val="45364880"/>
    <w:rsid w:val="46F875AC"/>
    <w:rsid w:val="476B6734"/>
    <w:rsid w:val="4789415F"/>
    <w:rsid w:val="4A1946C3"/>
    <w:rsid w:val="4A631DE2"/>
    <w:rsid w:val="4BB944F2"/>
    <w:rsid w:val="4C9D4567"/>
    <w:rsid w:val="50410FC1"/>
    <w:rsid w:val="508C1673"/>
    <w:rsid w:val="51A04229"/>
    <w:rsid w:val="52A82A88"/>
    <w:rsid w:val="535B3F9E"/>
    <w:rsid w:val="53EC0618"/>
    <w:rsid w:val="54842EBB"/>
    <w:rsid w:val="56DB571B"/>
    <w:rsid w:val="56F01285"/>
    <w:rsid w:val="58365C18"/>
    <w:rsid w:val="5E9E3F8A"/>
    <w:rsid w:val="5FE23052"/>
    <w:rsid w:val="60407574"/>
    <w:rsid w:val="61876F96"/>
    <w:rsid w:val="61CE1DF8"/>
    <w:rsid w:val="62672888"/>
    <w:rsid w:val="662C3C0B"/>
    <w:rsid w:val="67C11F1C"/>
    <w:rsid w:val="691A7AD8"/>
    <w:rsid w:val="69EF4FC9"/>
    <w:rsid w:val="6AAA7BD3"/>
    <w:rsid w:val="6B110457"/>
    <w:rsid w:val="6B80170E"/>
    <w:rsid w:val="6CAB264E"/>
    <w:rsid w:val="6ED24CBD"/>
    <w:rsid w:val="6F2968A7"/>
    <w:rsid w:val="706F478E"/>
    <w:rsid w:val="70B15AF2"/>
    <w:rsid w:val="70C161D0"/>
    <w:rsid w:val="713E2A09"/>
    <w:rsid w:val="740E5704"/>
    <w:rsid w:val="743E4BA3"/>
    <w:rsid w:val="769813AA"/>
    <w:rsid w:val="79A41242"/>
    <w:rsid w:val="79EC0399"/>
    <w:rsid w:val="7B7610C6"/>
    <w:rsid w:val="7C2D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rPr>
      <w:rFonts w:eastAsia="仿宋_GB2312"/>
      <w:sz w:val="32"/>
    </w:rPr>
  </w:style>
  <w:style w:type="paragraph" w:styleId="3">
    <w:name w:val="Body Text First Indent 2"/>
    <w:basedOn w:val="4"/>
    <w:link w:val="23"/>
    <w:qFormat/>
    <w:uiPriority w:val="99"/>
    <w:pPr>
      <w:ind w:firstLine="420"/>
    </w:pPr>
    <w:rPr>
      <w:rFonts w:eastAsia="仿宋_GB2312" w:asciiTheme="minorHAnsi" w:hAnsiTheme="minorHAnsi" w:cstheme="minorBidi"/>
      <w:kern w:val="0"/>
      <w:sz w:val="20"/>
      <w:szCs w:val="20"/>
    </w:rPr>
  </w:style>
  <w:style w:type="paragraph" w:styleId="4">
    <w:name w:val="Body Text Indent"/>
    <w:basedOn w:val="1"/>
    <w:link w:val="22"/>
    <w:semiHidden/>
    <w:unhideWhenUsed/>
    <w:qFormat/>
    <w:uiPriority w:val="99"/>
    <w:pPr>
      <w:spacing w:after="120"/>
      <w:ind w:left="420" w:leftChars="200"/>
    </w:pPr>
  </w:style>
  <w:style w:type="paragraph" w:styleId="6">
    <w:name w:val="Body Text"/>
    <w:basedOn w:val="1"/>
    <w:next w:val="1"/>
    <w:qFormat/>
    <w:uiPriority w:val="0"/>
    <w:pPr>
      <w:spacing w:after="120"/>
    </w:p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List Continue 2"/>
    <w:basedOn w:val="1"/>
    <w:semiHidden/>
    <w:unhideWhenUsed/>
    <w:qFormat/>
    <w:uiPriority w:val="99"/>
    <w:pPr>
      <w:spacing w:after="120"/>
      <w:ind w:left="840" w:leftChars="400"/>
      <w:contextualSpacing/>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BodyText1I2"/>
    <w:basedOn w:val="18"/>
    <w:next w:val="20"/>
    <w:qFormat/>
    <w:uiPriority w:val="0"/>
    <w:pPr>
      <w:ind w:firstLine="420"/>
    </w:pPr>
  </w:style>
  <w:style w:type="paragraph" w:customStyle="1" w:styleId="18">
    <w:name w:val="BodyTextIndent"/>
    <w:basedOn w:val="1"/>
    <w:next w:val="19"/>
    <w:qFormat/>
    <w:uiPriority w:val="0"/>
    <w:pPr>
      <w:spacing w:after="120"/>
      <w:ind w:left="420" w:leftChars="200"/>
      <w:textAlignment w:val="baseline"/>
    </w:pPr>
  </w:style>
  <w:style w:type="paragraph" w:customStyle="1" w:styleId="19">
    <w:name w:val="NormalIndent"/>
    <w:basedOn w:val="1"/>
    <w:qFormat/>
    <w:uiPriority w:val="0"/>
    <w:pPr>
      <w:ind w:firstLine="420" w:firstLineChars="200"/>
      <w:textAlignment w:val="baseline"/>
    </w:pPr>
    <w:rPr>
      <w:rFonts w:eastAsia="仿宋"/>
      <w:sz w:val="32"/>
    </w:rPr>
  </w:style>
  <w:style w:type="paragraph" w:customStyle="1" w:styleId="20">
    <w:name w:val="BodyText1I"/>
    <w:basedOn w:val="21"/>
    <w:qFormat/>
    <w:uiPriority w:val="0"/>
    <w:pPr>
      <w:ind w:firstLine="420" w:firstLineChars="100"/>
    </w:pPr>
  </w:style>
  <w:style w:type="paragraph" w:customStyle="1" w:styleId="21">
    <w:name w:val="BodyText"/>
    <w:basedOn w:val="1"/>
    <w:next w:val="1"/>
    <w:qFormat/>
    <w:uiPriority w:val="0"/>
    <w:pPr>
      <w:spacing w:after="120"/>
      <w:textAlignment w:val="baseline"/>
    </w:pPr>
  </w:style>
  <w:style w:type="character" w:customStyle="1" w:styleId="22">
    <w:name w:val="正文文本缩进 Char"/>
    <w:basedOn w:val="15"/>
    <w:link w:val="4"/>
    <w:semiHidden/>
    <w:qFormat/>
    <w:uiPriority w:val="99"/>
    <w:rPr>
      <w:rFonts w:ascii="Calibri" w:hAnsi="Calibri" w:eastAsia="宋体" w:cs="Times New Roman"/>
      <w:szCs w:val="24"/>
    </w:rPr>
  </w:style>
  <w:style w:type="character" w:customStyle="1" w:styleId="23">
    <w:name w:val="正文首行缩进 2 Char"/>
    <w:basedOn w:val="22"/>
    <w:link w:val="3"/>
    <w:qFormat/>
    <w:uiPriority w:val="99"/>
    <w:rPr>
      <w:rFonts w:ascii="Calibri" w:hAnsi="Calibri" w:eastAsia="仿宋_GB2312" w:cs="Times New Roman"/>
      <w:kern w:val="0"/>
      <w:sz w:val="20"/>
      <w:szCs w:val="20"/>
    </w:rPr>
  </w:style>
  <w:style w:type="character" w:customStyle="1" w:styleId="24">
    <w:name w:val="页眉 Char"/>
    <w:basedOn w:val="15"/>
    <w:link w:val="9"/>
    <w:semiHidden/>
    <w:qFormat/>
    <w:uiPriority w:val="99"/>
    <w:rPr>
      <w:rFonts w:ascii="Calibri" w:hAnsi="Calibri" w:eastAsia="宋体" w:cs="Times New Roman"/>
      <w:sz w:val="18"/>
      <w:szCs w:val="18"/>
    </w:rPr>
  </w:style>
  <w:style w:type="character" w:customStyle="1" w:styleId="25">
    <w:name w:val="页脚 Char"/>
    <w:basedOn w:val="15"/>
    <w:link w:val="8"/>
    <w:qFormat/>
    <w:uiPriority w:val="99"/>
    <w:rPr>
      <w:rFonts w:ascii="Calibri" w:hAnsi="Calibri" w:eastAsia="宋体" w:cs="Times New Roman"/>
      <w:sz w:val="18"/>
      <w:szCs w:val="18"/>
    </w:rPr>
  </w:style>
  <w:style w:type="paragraph" w:customStyle="1" w:styleId="26">
    <w:name w:val="List Paragraph2"/>
    <w:basedOn w:val="1"/>
    <w:qFormat/>
    <w:uiPriority w:val="99"/>
    <w:pPr>
      <w:ind w:firstLine="420" w:firstLineChars="200"/>
    </w:pPr>
  </w:style>
  <w:style w:type="paragraph" w:customStyle="1" w:styleId="27">
    <w:name w:val="列出段落3"/>
    <w:basedOn w:val="1"/>
    <w:qFormat/>
    <w:uiPriority w:val="0"/>
    <w:pPr>
      <w:ind w:firstLine="420" w:firstLineChars="200"/>
    </w:pPr>
  </w:style>
  <w:style w:type="character" w:customStyle="1" w:styleId="28">
    <w:name w:val="批注框文本 Char"/>
    <w:basedOn w:val="15"/>
    <w:link w:val="7"/>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11635</Words>
  <Characters>12157</Characters>
  <Lines>95</Lines>
  <Paragraphs>26</Paragraphs>
  <TotalTime>0</TotalTime>
  <ScaleCrop>false</ScaleCrop>
  <LinksUpToDate>false</LinksUpToDate>
  <CharactersWithSpaces>12278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2022-02-07T01:38:00Z</dcterms:created>
  <dc:creator>Administrator</dc:creator>
  <cp:lastModifiedBy>86159</cp:lastModifiedBy>
  <cp:lastPrinted>2022-01-24T07:12:00Z</cp:lastPrinted>
  <dcterms:modified xsi:type="dcterms:W3CDTF">2023-09-05T02:54:02Z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84CBE55D316C4D22BFD2841901D3A632_13</vt:lpwstr>
  </property>
</Properties>
</file>