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bookmarkStart w:id="2" w:name="_GoBack"/>
      <w:bookmarkEnd w:id="2"/>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p>
    <w:p>
      <w:pPr>
        <w:pStyle w:val="14"/>
        <w:spacing w:after="0" w:line="580" w:lineRule="exact"/>
        <w:ind w:left="0" w:leftChars="0" w:firstLine="0" w:firstLineChars="0"/>
        <w:jc w:val="center"/>
        <w:rPr>
          <w:rFonts w:ascii="Times New Roman" w:hAnsi="Times New Roman"/>
          <w:color w:val="000000" w:themeColor="text1"/>
          <w14:textFill>
            <w14:solidFill>
              <w14:schemeClr w14:val="tx1"/>
            </w14:solidFill>
          </w14:textFill>
        </w:rPr>
      </w:pPr>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r>
        <w:rPr>
          <w:rFonts w:ascii="Times New Roman" w:hAnsi="Times New Roman" w:eastAsia="方正仿宋_GBK" w:cs="Times New Roman"/>
          <w:color w:val="000000" w:themeColor="text1"/>
          <w:sz w:val="32"/>
          <w:szCs w:val="32"/>
          <w14:textFill>
            <w14:solidFill>
              <w14:schemeClr w14:val="tx1"/>
            </w14:solidFill>
          </w14:textFill>
        </w:rPr>
        <w:t>宿政办发〔2022〕</w:t>
      </w:r>
      <w:r>
        <w:rPr>
          <w:rFonts w:hint="eastAsia" w:ascii="Times New Roman" w:hAnsi="Times New Roman" w:eastAsia="方正仿宋_GBK" w:cs="Times New Roman"/>
          <w:color w:val="000000" w:themeColor="text1"/>
          <w:sz w:val="32"/>
          <w:szCs w:val="32"/>
          <w14:textFill>
            <w14:solidFill>
              <w14:schemeClr w14:val="tx1"/>
            </w14:solidFill>
          </w14:textFill>
        </w:rPr>
        <w:t>28</w:t>
      </w:r>
      <w:r>
        <w:rPr>
          <w:rFonts w:ascii="Times New Roman" w:hAnsi="Times New Roman" w:eastAsia="方正仿宋_GBK" w:cs="Times New Roman"/>
          <w:color w:val="000000" w:themeColor="text1"/>
          <w:sz w:val="32"/>
          <w:szCs w:val="32"/>
          <w14:textFill>
            <w14:solidFill>
              <w14:schemeClr w14:val="tx1"/>
            </w14:solidFill>
          </w14:textFill>
        </w:rPr>
        <w:t>号</w:t>
      </w:r>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jc w:val="center"/>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jc w:val="center"/>
        <w:rPr>
          <w:rFonts w:ascii="Times New Roman" w:hAnsi="Times New Roman" w:eastAsia="方正小标宋_GBK" w:cs="Times New Roman"/>
          <w:color w:val="000000" w:themeColor="text1"/>
          <w:sz w:val="44"/>
          <w:szCs w:val="44"/>
          <w14:textFill>
            <w14:solidFill>
              <w14:schemeClr w14:val="tx1"/>
            </w14:solidFill>
          </w14:textFill>
        </w:rPr>
      </w:pPr>
      <w:r>
        <w:rPr>
          <w:rFonts w:ascii="Times New Roman" w:hAnsi="Times New Roman" w:eastAsia="方正小标宋_GBK" w:cs="Times New Roman"/>
          <w:color w:val="000000" w:themeColor="text1"/>
          <w:sz w:val="44"/>
          <w:szCs w:val="44"/>
          <w14:textFill>
            <w14:solidFill>
              <w14:schemeClr w14:val="tx1"/>
            </w14:solidFill>
          </w14:textFill>
        </w:rPr>
        <w:t>市政府办公室关于印发</w:t>
      </w:r>
    </w:p>
    <w:p>
      <w:pPr>
        <w:spacing w:line="580" w:lineRule="exact"/>
        <w:jc w:val="center"/>
        <w:rPr>
          <w:rFonts w:ascii="Times New Roman" w:hAnsi="Times New Roman" w:eastAsia="方正小标宋_GBK" w:cs="Times New Roman"/>
          <w:color w:val="000000" w:themeColor="text1"/>
          <w:sz w:val="44"/>
          <w:szCs w:val="44"/>
          <w14:textFill>
            <w14:solidFill>
              <w14:schemeClr w14:val="tx1"/>
            </w14:solidFill>
          </w14:textFill>
        </w:rPr>
      </w:pPr>
      <w:r>
        <w:rPr>
          <w:rFonts w:ascii="Times New Roman" w:hAnsi="Times New Roman" w:eastAsia="方正小标宋_GBK" w:cs="Times New Roman"/>
          <w:color w:val="000000" w:themeColor="text1"/>
          <w:sz w:val="44"/>
          <w:szCs w:val="44"/>
          <w14:textFill>
            <w14:solidFill>
              <w14:schemeClr w14:val="tx1"/>
            </w14:solidFill>
          </w14:textFill>
        </w:rPr>
        <w:t>2022年宿迁市大数据工作要点的通知</w:t>
      </w:r>
    </w:p>
    <w:p>
      <w:pPr>
        <w:pStyle w:val="14"/>
        <w:spacing w:after="0" w:line="580" w:lineRule="exact"/>
        <w:rPr>
          <w:rFonts w:ascii="Times New Roman" w:hAnsi="Times New Roman"/>
          <w:color w:val="000000" w:themeColor="text1"/>
          <w14:textFill>
            <w14:solidFill>
              <w14:schemeClr w14:val="tx1"/>
            </w14:solidFill>
          </w14:textFill>
        </w:rPr>
      </w:pPr>
    </w:p>
    <w:p>
      <w:pPr>
        <w:spacing w:line="580" w:lineRule="exact"/>
        <w:jc w:val="left"/>
        <w:rPr>
          <w:rFonts w:ascii="Times New Roman" w:hAnsi="Times New Roman" w:eastAsia="方正仿宋_GBK" w:cs="Times New Roman"/>
          <w:color w:val="000000" w:themeColor="text1"/>
          <w:sz w:val="32"/>
          <w:szCs w:val="32"/>
          <w14:textFill>
            <w14:solidFill>
              <w14:schemeClr w14:val="tx1"/>
            </w14:solidFill>
          </w14:textFill>
        </w:rPr>
      </w:pPr>
      <w:r>
        <w:rPr>
          <w:rFonts w:ascii="Times New Roman" w:hAnsi="Times New Roman" w:eastAsia="方正仿宋_GBK" w:cs="Times New Roman"/>
          <w:color w:val="000000" w:themeColor="text1"/>
          <w:sz w:val="32"/>
          <w:szCs w:val="32"/>
          <w14:textFill>
            <w14:solidFill>
              <w14:schemeClr w14:val="tx1"/>
            </w14:solidFill>
          </w14:textFill>
        </w:rPr>
        <w:t>各县、区人民政府，市各开发区、新区、园区管委会，市各有关部门和单位：</w:t>
      </w:r>
    </w:p>
    <w:p>
      <w:pPr>
        <w:pStyle w:val="3"/>
        <w:spacing w:line="580" w:lineRule="exact"/>
        <w:ind w:firstLine="640" w:firstLineChars="200"/>
        <w:rPr>
          <w:rFonts w:ascii="Times New Roman" w:eastAsia="方正仿宋_GBK"/>
          <w:color w:val="000000" w:themeColor="text1"/>
          <w:sz w:val="32"/>
          <w:szCs w:val="32"/>
          <w14:textFill>
            <w14:solidFill>
              <w14:schemeClr w14:val="tx1"/>
            </w14:solidFill>
          </w14:textFill>
        </w:rPr>
      </w:pPr>
      <w:r>
        <w:rPr>
          <w:rFonts w:hint="eastAsia" w:ascii="Times New Roman" w:eastAsia="方正仿宋_GBK"/>
          <w:color w:val="000000" w:themeColor="text1"/>
          <w:sz w:val="32"/>
          <w:szCs w:val="32"/>
          <w14:textFill>
            <w14:solidFill>
              <w14:schemeClr w14:val="tx1"/>
            </w14:solidFill>
          </w14:textFill>
        </w:rPr>
        <w:t>现将</w:t>
      </w:r>
      <w:r>
        <w:rPr>
          <w:rFonts w:ascii="Times New Roman" w:eastAsia="方正仿宋_GBK"/>
          <w:color w:val="000000" w:themeColor="text1"/>
          <w:sz w:val="32"/>
          <w:szCs w:val="32"/>
          <w14:textFill>
            <w14:solidFill>
              <w14:schemeClr w14:val="tx1"/>
            </w14:solidFill>
          </w14:textFill>
        </w:rPr>
        <w:t>《2022年宿迁市大数据工作要点》印发给你们，请认真贯彻执行。</w:t>
      </w:r>
    </w:p>
    <w:p>
      <w:pPr>
        <w:pStyle w:val="3"/>
        <w:spacing w:line="580" w:lineRule="exact"/>
        <w:ind w:firstLine="320"/>
        <w:rPr>
          <w:rFonts w:ascii="Times New Roman" w:eastAsia="方正仿宋_GBK"/>
          <w:color w:val="000000" w:themeColor="text1"/>
          <w:sz w:val="32"/>
          <w:szCs w:val="32"/>
          <w14:textFill>
            <w14:solidFill>
              <w14:schemeClr w14:val="tx1"/>
            </w14:solidFill>
          </w14:textFill>
        </w:rPr>
      </w:pPr>
    </w:p>
    <w:p>
      <w:pPr>
        <w:pStyle w:val="3"/>
        <w:spacing w:line="580" w:lineRule="exact"/>
        <w:ind w:firstLine="320"/>
        <w:rPr>
          <w:rFonts w:ascii="Times New Roman" w:eastAsia="方正仿宋_GBK"/>
          <w:color w:val="000000" w:themeColor="text1"/>
          <w:sz w:val="32"/>
          <w:szCs w:val="32"/>
          <w14:textFill>
            <w14:solidFill>
              <w14:schemeClr w14:val="tx1"/>
            </w14:solidFill>
          </w14:textFill>
        </w:rPr>
      </w:pPr>
    </w:p>
    <w:p>
      <w:pPr>
        <w:pStyle w:val="3"/>
        <w:spacing w:line="580" w:lineRule="exact"/>
        <w:ind w:firstLine="320"/>
        <w:rPr>
          <w:rFonts w:ascii="Times New Roman" w:eastAsia="方正仿宋_GBK"/>
          <w:color w:val="000000" w:themeColor="text1"/>
          <w:sz w:val="32"/>
          <w:szCs w:val="32"/>
          <w14:textFill>
            <w14:solidFill>
              <w14:schemeClr w14:val="tx1"/>
            </w14:solidFill>
          </w14:textFill>
        </w:rPr>
      </w:pPr>
    </w:p>
    <w:p>
      <w:pPr>
        <w:pStyle w:val="7"/>
        <w:spacing w:beforeAutospacing="0" w:afterAutospacing="0" w:line="580" w:lineRule="exact"/>
        <w:ind w:firstLine="4739" w:firstLineChars="1481"/>
        <w:jc w:val="both"/>
        <w:rPr>
          <w:rFonts w:ascii="Times New Roman" w:hAnsi="Times New Roman" w:eastAsia="方正仿宋_GBK"/>
          <w:color w:val="000000" w:themeColor="text1"/>
          <w:sz w:val="32"/>
          <w:szCs w:val="32"/>
          <w14:textFill>
            <w14:solidFill>
              <w14:schemeClr w14:val="tx1"/>
            </w14:solidFill>
          </w14:textFill>
        </w:rPr>
      </w:pPr>
      <w:r>
        <w:rPr>
          <w:rFonts w:ascii="Times New Roman" w:hAnsi="Times New Roman" w:eastAsia="方正仿宋_GBK"/>
          <w:color w:val="000000" w:themeColor="text1"/>
          <w:sz w:val="32"/>
          <w:szCs w:val="32"/>
          <w14:textFill>
            <w14:solidFill>
              <w14:schemeClr w14:val="tx1"/>
            </w14:solidFill>
          </w14:textFill>
        </w:rPr>
        <w:t>宿迁市人民政府办公室</w:t>
      </w:r>
    </w:p>
    <w:p>
      <w:pPr>
        <w:pStyle w:val="3"/>
        <w:spacing w:line="580" w:lineRule="exact"/>
        <w:ind w:firstLine="320"/>
        <w:rPr>
          <w:rFonts w:ascii="Times New Roman" w:eastAsia="方正仿宋_GBK"/>
          <w:color w:val="000000" w:themeColor="text1"/>
          <w:sz w:val="32"/>
          <w:szCs w:val="32"/>
          <w14:textFill>
            <w14:solidFill>
              <w14:schemeClr w14:val="tx1"/>
            </w14:solidFill>
          </w14:textFill>
        </w:rPr>
      </w:pPr>
      <w:r>
        <w:rPr>
          <w:rFonts w:ascii="Times New Roman" w:eastAsia="方正仿宋_GBK"/>
          <w:color w:val="000000" w:themeColor="text1"/>
          <w:sz w:val="32"/>
          <w:szCs w:val="32"/>
          <w14:textFill>
            <w14:solidFill>
              <w14:schemeClr w14:val="tx1"/>
            </w14:solidFill>
          </w14:textFill>
        </w:rPr>
        <w:t xml:space="preserve">                               2022年5月</w:t>
      </w:r>
      <w:r>
        <w:rPr>
          <w:rFonts w:hint="eastAsia" w:ascii="Times New Roman" w:eastAsia="方正仿宋_GBK"/>
          <w:color w:val="000000" w:themeColor="text1"/>
          <w:sz w:val="32"/>
          <w:szCs w:val="32"/>
          <w14:textFill>
            <w14:solidFill>
              <w14:schemeClr w14:val="tx1"/>
            </w14:solidFill>
          </w14:textFill>
        </w:rPr>
        <w:t>6</w:t>
      </w:r>
      <w:r>
        <w:rPr>
          <w:rFonts w:ascii="Times New Roman" w:eastAsia="方正仿宋_GBK"/>
          <w:color w:val="000000" w:themeColor="text1"/>
          <w:sz w:val="32"/>
          <w:szCs w:val="32"/>
          <w14:textFill>
            <w14:solidFill>
              <w14:schemeClr w14:val="tx1"/>
            </w14:solidFill>
          </w14:textFill>
        </w:rPr>
        <w:t>日</w:t>
      </w:r>
    </w:p>
    <w:p>
      <w:pPr>
        <w:pStyle w:val="3"/>
        <w:spacing w:line="580" w:lineRule="exact"/>
        <w:ind w:firstLine="320"/>
        <w:rPr>
          <w:rFonts w:ascii="Times New Roman" w:eastAsia="方正仿宋_GBK"/>
          <w:color w:val="000000" w:themeColor="text1"/>
          <w:sz w:val="32"/>
          <w:szCs w:val="32"/>
          <w14:textFill>
            <w14:solidFill>
              <w14:schemeClr w14:val="tx1"/>
            </w14:solidFill>
          </w14:textFill>
        </w:rPr>
      </w:pPr>
      <w:r>
        <w:rPr>
          <w:rFonts w:ascii="Times New Roman" w:eastAsia="方正仿宋_GBK"/>
          <w:color w:val="000000" w:themeColor="text1"/>
          <w:sz w:val="32"/>
          <w:szCs w:val="32"/>
          <w14:textFill>
            <w14:solidFill>
              <w14:schemeClr w14:val="tx1"/>
            </w14:solidFill>
          </w14:textFill>
        </w:rPr>
        <w:t>（此件公开发布）</w:t>
      </w:r>
    </w:p>
    <w:p>
      <w:pPr>
        <w:pStyle w:val="3"/>
        <w:spacing w:line="580" w:lineRule="exact"/>
        <w:ind w:firstLine="0"/>
        <w:rPr>
          <w:rFonts w:ascii="Times New Roman" w:eastAsia="方正仿宋_GBK"/>
          <w:color w:val="000000" w:themeColor="text1"/>
          <w:sz w:val="32"/>
          <w:szCs w:val="32"/>
          <w14:textFill>
            <w14:solidFill>
              <w14:schemeClr w14:val="tx1"/>
            </w14:solidFill>
          </w14:textFill>
        </w:rPr>
      </w:pPr>
    </w:p>
    <w:p>
      <w:pPr>
        <w:pStyle w:val="3"/>
        <w:spacing w:line="580" w:lineRule="exact"/>
        <w:ind w:firstLine="0"/>
        <w:jc w:val="center"/>
        <w:rPr>
          <w:rFonts w:ascii="Times New Roman" w:eastAsia="方正小标宋_GBK"/>
          <w:color w:val="000000" w:themeColor="text1"/>
          <w:sz w:val="44"/>
          <w:szCs w:val="44"/>
          <w14:textFill>
            <w14:solidFill>
              <w14:schemeClr w14:val="tx1"/>
            </w14:solidFill>
          </w14:textFill>
        </w:rPr>
      </w:pPr>
      <w:r>
        <w:rPr>
          <w:rFonts w:ascii="Times New Roman" w:eastAsia="方正小标宋_GBK"/>
          <w:color w:val="000000" w:themeColor="text1"/>
          <w:sz w:val="44"/>
          <w:szCs w:val="44"/>
          <w14:textFill>
            <w14:solidFill>
              <w14:schemeClr w14:val="tx1"/>
            </w14:solidFill>
          </w14:textFill>
        </w:rPr>
        <w:t>2022年宿迁市大数据工作要点</w:t>
      </w:r>
    </w:p>
    <w:p>
      <w:pPr>
        <w:snapToGrid w:val="0"/>
        <w:spacing w:line="584" w:lineRule="exact"/>
        <w:rPr>
          <w:rFonts w:ascii="Times New Roman" w:hAnsi="Times New Roman" w:eastAsia="方正仿宋_GBK" w:cs="Times New Roman"/>
          <w:color w:val="000000" w:themeColor="text1"/>
          <w:sz w:val="32"/>
          <w:szCs w:val="32"/>
          <w14:textFill>
            <w14:solidFill>
              <w14:schemeClr w14:val="tx1"/>
            </w14:solidFill>
          </w14:textFill>
        </w:rPr>
      </w:pPr>
    </w:p>
    <w:p>
      <w:pPr>
        <w:snapToGrid w:val="0"/>
        <w:spacing w:line="580" w:lineRule="exact"/>
        <w:ind w:firstLine="640"/>
        <w:rPr>
          <w:rFonts w:ascii="方正仿宋_GBK" w:hAnsi="方正仿宋_GBK" w:eastAsia="方正仿宋_GBK" w:cs="方正仿宋_GBK"/>
          <w:color w:val="000000" w:themeColor="text1"/>
          <w:sz w:val="32"/>
          <w:szCs w:val="32"/>
          <w14:textFill>
            <w14:solidFill>
              <w14:schemeClr w14:val="tx1"/>
            </w14:solidFill>
          </w14:textFill>
        </w:rPr>
      </w:pPr>
      <w:r>
        <w:rPr>
          <w:rFonts w:hint="eastAsia" w:ascii="方正仿宋_GBK" w:hAnsi="方正仿宋_GBK" w:eastAsia="方正仿宋_GBK" w:cs="方正仿宋_GBK"/>
          <w:color w:val="000000" w:themeColor="text1"/>
          <w:sz w:val="32"/>
          <w:szCs w:val="32"/>
          <w14:textFill>
            <w14:solidFill>
              <w14:schemeClr w14:val="tx1"/>
            </w14:solidFill>
          </w14:textFill>
        </w:rPr>
        <w:t>2022年，全市大数据工作要以习近平新时代中国特色社会主义思想为指导，深入贯彻党的十九大和十九届历次全会精神，落实省第十四次党代会和市第六次党代会部署，抓住省政务服务管理办公室支持宿迁推进“四化”同步集成改革示范区建设有利契机，按照《江苏省公共数据管理办法》《江苏省“十四五”数字政府建设规划》《省政府关于加快统筹推进数字政府高质量建设的实施意见》《宿迁市新型智慧城市总体规划》等文件精神和市委、市政府工作部署，锚定“大数据工作走在全省第一方阵”的目标定位，围绕服务数字政府建设这一主题主线，聚焦支撑“一网通办”“一网统管”两项重点，突出社会治理、民生服务、数字经济三大领域，夯实“云数网安”四大基础平台，持续完善工作制度机制，推动大数据工作高质量发展，为奋力谱写“强富美高”新宿迁现代化建设新篇章作出新的贡献。</w:t>
      </w:r>
    </w:p>
    <w:p>
      <w:pPr>
        <w:snapToGrid w:val="0"/>
        <w:spacing w:line="580" w:lineRule="exact"/>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一、全力争当“四化”同步集成改革“排头兵”</w:t>
      </w:r>
    </w:p>
    <w:p>
      <w:pPr>
        <w:snapToGrid w:val="0"/>
        <w:spacing w:line="580" w:lineRule="exact"/>
        <w:ind w:firstLine="646"/>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创新政务数据共享运行机制。</w:t>
      </w:r>
      <w:r>
        <w:rPr>
          <w:rFonts w:ascii="Times New Roman" w:hAnsi="Times New Roman" w:eastAsia="方正仿宋_GBK" w:cs="Times New Roman"/>
          <w:color w:val="000000" w:themeColor="text1"/>
          <w:sz w:val="32"/>
          <w:szCs w:val="32"/>
          <w14:textFill>
            <w14:solidFill>
              <w14:schemeClr w14:val="tx1"/>
            </w14:solidFill>
          </w14:textFill>
        </w:rPr>
        <w:t>建立公共数据共享议事协调机制，加强全市公共数据共享的组织领导和统筹协调。</w:t>
      </w:r>
      <w:r>
        <w:rPr>
          <w:rFonts w:hint="eastAsia" w:ascii="Times New Roman" w:hAnsi="Times New Roman" w:eastAsia="方正仿宋_GBK" w:cs="Times New Roman"/>
          <w:color w:val="000000" w:themeColor="text1"/>
          <w:sz w:val="32"/>
          <w:szCs w:val="32"/>
          <w14:textFill>
            <w14:solidFill>
              <w14:schemeClr w14:val="tx1"/>
            </w14:solidFill>
          </w14:textFill>
        </w:rPr>
        <w:t>年内出台</w:t>
      </w:r>
      <w:r>
        <w:rPr>
          <w:rFonts w:ascii="Times New Roman" w:hAnsi="Times New Roman" w:eastAsia="方正仿宋_GBK" w:cs="Times New Roman"/>
          <w:color w:val="000000" w:themeColor="text1"/>
          <w:sz w:val="32"/>
          <w:szCs w:val="32"/>
          <w14:textFill>
            <w14:solidFill>
              <w14:schemeClr w14:val="tx1"/>
            </w14:solidFill>
          </w14:textFill>
        </w:rPr>
        <w:t>首席数据（数字）官制度，明晰工作职责，推动县区、部门、行业建立健全数据治理体系，强化大数据统筹建设和管理。</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（牵头单位：市大数据管理局；配合单位：市各有关部门和单位，各县、区人民政府，市各功能区管委会）</w:t>
      </w:r>
    </w:p>
    <w:p>
      <w:pPr>
        <w:snapToGrid w:val="0"/>
        <w:spacing w:line="580" w:lineRule="exact"/>
        <w:ind w:firstLine="646"/>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打造省级部门数据回流示范。</w:t>
      </w:r>
      <w:r>
        <w:rPr>
          <w:rFonts w:ascii="Times New Roman" w:hAnsi="Times New Roman" w:eastAsia="方正仿宋_GBK" w:cs="Times New Roman"/>
          <w:color w:val="000000" w:themeColor="text1"/>
          <w:sz w:val="32"/>
          <w:szCs w:val="32"/>
          <w14:textFill>
            <w14:solidFill>
              <w14:schemeClr w14:val="tx1"/>
            </w14:solidFill>
          </w14:textFill>
        </w:rPr>
        <w:t>建立省、市数据对接回流机制，推动人</w:t>
      </w:r>
      <w:r>
        <w:rPr>
          <w:rFonts w:hint="eastAsia" w:ascii="Times New Roman" w:hAnsi="Times New Roman" w:eastAsia="方正仿宋_GBK" w:cs="Times New Roman"/>
          <w:color w:val="000000" w:themeColor="text1"/>
          <w:sz w:val="32"/>
          <w:szCs w:val="32"/>
          <w14:textFill>
            <w14:solidFill>
              <w14:schemeClr w14:val="tx1"/>
            </w14:solidFill>
          </w14:textFill>
        </w:rPr>
        <w:t>力资源和社会保障</w:t>
      </w:r>
      <w:r>
        <w:rPr>
          <w:rFonts w:ascii="Times New Roman" w:hAnsi="Times New Roman" w:eastAsia="方正仿宋_GBK" w:cs="Times New Roman"/>
          <w:color w:val="000000" w:themeColor="text1"/>
          <w:sz w:val="32"/>
          <w:szCs w:val="32"/>
          <w14:textFill>
            <w14:solidFill>
              <w14:schemeClr w14:val="tx1"/>
            </w14:solidFill>
          </w14:textFill>
        </w:rPr>
        <w:t>、交通</w:t>
      </w:r>
      <w:r>
        <w:rPr>
          <w:rFonts w:hint="eastAsia" w:ascii="Times New Roman" w:hAnsi="Times New Roman" w:eastAsia="方正仿宋_GBK" w:cs="Times New Roman"/>
          <w:color w:val="000000" w:themeColor="text1"/>
          <w:sz w:val="32"/>
          <w:szCs w:val="32"/>
          <w14:textFill>
            <w14:solidFill>
              <w14:schemeClr w14:val="tx1"/>
            </w14:solidFill>
          </w14:textFill>
        </w:rPr>
        <w:t>运输</w:t>
      </w:r>
      <w:r>
        <w:rPr>
          <w:rFonts w:ascii="Times New Roman" w:hAnsi="Times New Roman" w:eastAsia="方正仿宋_GBK" w:cs="Times New Roman"/>
          <w:color w:val="000000" w:themeColor="text1"/>
          <w:sz w:val="32"/>
          <w:szCs w:val="32"/>
          <w14:textFill>
            <w14:solidFill>
              <w14:schemeClr w14:val="tx1"/>
            </w14:solidFill>
          </w14:textFill>
        </w:rPr>
        <w:t>、医</w:t>
      </w:r>
      <w:r>
        <w:rPr>
          <w:rFonts w:hint="eastAsia" w:ascii="Times New Roman" w:hAnsi="Times New Roman" w:eastAsia="方正仿宋_GBK" w:cs="Times New Roman"/>
          <w:color w:val="000000" w:themeColor="text1"/>
          <w:sz w:val="32"/>
          <w:szCs w:val="32"/>
          <w14:textFill>
            <w14:solidFill>
              <w14:schemeClr w14:val="tx1"/>
            </w14:solidFill>
          </w14:textFill>
        </w:rPr>
        <w:t>疗保障</w:t>
      </w:r>
      <w:r>
        <w:rPr>
          <w:rFonts w:ascii="Times New Roman" w:hAnsi="Times New Roman" w:eastAsia="方正仿宋_GBK" w:cs="Times New Roman"/>
          <w:color w:val="000000" w:themeColor="text1"/>
          <w:sz w:val="32"/>
          <w:szCs w:val="32"/>
          <w14:textFill>
            <w14:solidFill>
              <w14:schemeClr w14:val="tx1"/>
            </w14:solidFill>
          </w14:textFill>
        </w:rPr>
        <w:t>、财政、民政、市场监管等相关数据向宿迁回流。加强数据落地后的入库管理、目录编制、服务发布等工作。</w:t>
      </w:r>
      <w:r>
        <w:rPr>
          <w:rFonts w:ascii="Times New Roman" w:hAnsi="Times New Roman" w:eastAsia="方正楷体_GBK" w:cs="Times New Roman"/>
          <w:color w:val="000000" w:themeColor="text1"/>
          <w:sz w:val="32"/>
          <w:szCs w:val="32"/>
          <w14:textFill>
            <w14:solidFill>
              <w14:schemeClr w14:val="tx1"/>
            </w14:solidFill>
          </w14:textFill>
        </w:rPr>
        <w:t>（市财政局、市民政局、市人力资源社会保障局、市交通运输局、市市场监管局、市医</w:t>
      </w:r>
      <w:r>
        <w:rPr>
          <w:rFonts w:hint="eastAsia" w:ascii="Times New Roman" w:hAnsi="Times New Roman" w:eastAsia="方正楷体_GBK" w:cs="Times New Roman"/>
          <w:color w:val="000000" w:themeColor="text1"/>
          <w:sz w:val="32"/>
          <w:szCs w:val="32"/>
          <w14:textFill>
            <w14:solidFill>
              <w14:schemeClr w14:val="tx1"/>
            </w14:solidFill>
          </w14:textFill>
        </w:rPr>
        <w:t>疗保障局</w:t>
      </w:r>
      <w:r>
        <w:rPr>
          <w:rFonts w:ascii="Times New Roman" w:hAnsi="Times New Roman" w:eastAsia="方正楷体_GBK" w:cs="Times New Roman"/>
          <w:color w:val="000000" w:themeColor="text1"/>
          <w:sz w:val="32"/>
          <w:szCs w:val="32"/>
          <w14:textFill>
            <w14:solidFill>
              <w14:schemeClr w14:val="tx1"/>
            </w14:solidFill>
          </w14:textFill>
        </w:rPr>
        <w:t>、市大数据中心等部门和单位按职责分工负责）</w:t>
      </w:r>
    </w:p>
    <w:p>
      <w:pPr>
        <w:snapToGrid w:val="0"/>
        <w:spacing w:line="580" w:lineRule="exact"/>
        <w:ind w:firstLine="646"/>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开展省市数据供需对接试点。</w:t>
      </w:r>
      <w:r>
        <w:rPr>
          <w:rFonts w:ascii="Times New Roman" w:hAnsi="Times New Roman" w:eastAsia="方正仿宋_GBK" w:cs="Times New Roman"/>
          <w:color w:val="000000" w:themeColor="text1"/>
          <w:sz w:val="32"/>
          <w:szCs w:val="32"/>
          <w14:textFill>
            <w14:solidFill>
              <w14:schemeClr w14:val="tx1"/>
            </w14:solidFill>
          </w14:textFill>
        </w:rPr>
        <w:t>强化数据供需精准对接匹配，梳理编制公共数据目录清单，完善数据目录体系。深入开展数据需求调查，积极协调、响应数据需求，完善异议数据共享协调机制。加强数据需求、供给考核评价，确保数据及时、有效、高质量供给。建立应急状态下的数据供需对接机制。</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（牵头单位：市大数据管理局；配合单位：市各有关部门和单位）</w:t>
      </w:r>
    </w:p>
    <w:p>
      <w:pPr>
        <w:snapToGrid w:val="0"/>
        <w:spacing w:line="580" w:lineRule="exact"/>
        <w:ind w:firstLine="646"/>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（四）</w:t>
      </w:r>
      <w:r>
        <w:rPr>
          <w:rFonts w:ascii="Times New Roman" w:hAnsi="Times New Roman" w:eastAsia="方正楷体_GBK" w:cs="Times New Roman"/>
          <w:color w:val="000000" w:themeColor="text1"/>
          <w:sz w:val="32"/>
          <w:szCs w:val="32"/>
          <w14:textFill>
            <w14:solidFill>
              <w14:schemeClr w14:val="tx1"/>
            </w14:solidFill>
          </w14:textFill>
        </w:rPr>
        <w:t>打造城市门户APP。</w:t>
      </w:r>
      <w:r>
        <w:rPr>
          <w:rFonts w:hint="eastAsia" w:ascii="方正仿宋_GBK" w:hAnsi="方正仿宋_GBK" w:eastAsia="方正仿宋_GBK" w:cs="方正仿宋_GBK"/>
          <w:color w:val="000000" w:themeColor="text1"/>
          <w:sz w:val="32"/>
          <w:szCs w:val="32"/>
          <w14:textFill>
            <w14:solidFill>
              <w14:schemeClr w14:val="tx1"/>
            </w14:solidFill>
          </w14:textFill>
        </w:rPr>
        <w:t>加快城市门户APP建设，打造跨层级、跨地域、跨系统、跨部门、跨业务的全市统一移动服务“总入口”。组建专业运营团队，汇聚政务服务、公共服务等事项，创新应用场景，挖掘数据价值，加快实现“一端惠全城”。</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（牵头单位：市大数据管理局、市产发集团；配合单位：市各有关部门和单位，各县、区人民政府，市各功能区管委会）</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二、夯实数据服务基础</w:t>
      </w:r>
    </w:p>
    <w:p>
      <w:pPr>
        <w:snapToGrid w:val="0"/>
        <w:spacing w:line="580" w:lineRule="exact"/>
        <w:ind w:firstLine="629"/>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增强公共数据平台承载能力。</w:t>
      </w:r>
      <w:r>
        <w:rPr>
          <w:rFonts w:ascii="Times New Roman" w:hAnsi="Times New Roman" w:eastAsia="方正仿宋_GBK" w:cs="Times New Roman"/>
          <w:color w:val="000000" w:themeColor="text1"/>
          <w:sz w:val="32"/>
          <w:szCs w:val="32"/>
          <w14:textFill>
            <w14:solidFill>
              <w14:schemeClr w14:val="tx1"/>
            </w14:solidFill>
          </w14:textFill>
        </w:rPr>
        <w:t>年内完成市政务数据共享交换平台升级，构建一门式、综合型、立体化的全市公共数据服务平台。6月底前</w:t>
      </w:r>
      <w:r>
        <w:rPr>
          <w:rFonts w:hint="eastAsia" w:ascii="Times New Roman" w:hAnsi="Times New Roman" w:eastAsia="方正仿宋_GBK" w:cs="Times New Roman"/>
          <w:color w:val="000000" w:themeColor="text1"/>
          <w:sz w:val="32"/>
          <w:szCs w:val="32"/>
          <w14:textFill>
            <w14:solidFill>
              <w14:schemeClr w14:val="tx1"/>
            </w14:solidFill>
          </w14:textFill>
        </w:rPr>
        <w:t>上线</w:t>
      </w:r>
      <w:r>
        <w:rPr>
          <w:rFonts w:ascii="Times New Roman" w:hAnsi="Times New Roman" w:eastAsia="方正仿宋_GBK" w:cs="Times New Roman"/>
          <w:color w:val="000000" w:themeColor="text1"/>
          <w:sz w:val="32"/>
          <w:szCs w:val="32"/>
          <w14:textFill>
            <w14:solidFill>
              <w14:schemeClr w14:val="tx1"/>
            </w14:solidFill>
          </w14:textFill>
        </w:rPr>
        <w:t>县区数据专区，提升县区数据共享服务能力。</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（牵头单位：市大数据中心；配合单位：各县、区人民政府，市各功能区管委会）</w:t>
      </w:r>
    </w:p>
    <w:p>
      <w:pPr>
        <w:snapToGrid w:val="0"/>
        <w:spacing w:line="580" w:lineRule="exact"/>
        <w:ind w:firstLine="629"/>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完善全市数据目录体系。</w:t>
      </w:r>
      <w:r>
        <w:rPr>
          <w:rFonts w:ascii="Times New Roman" w:hAnsi="Times New Roman" w:eastAsia="方正仿宋_GBK" w:cs="Times New Roman"/>
          <w:color w:val="000000" w:themeColor="text1"/>
          <w:sz w:val="32"/>
          <w:szCs w:val="32"/>
          <w14:textFill>
            <w14:solidFill>
              <w14:schemeClr w14:val="tx1"/>
            </w14:solidFill>
          </w14:textFill>
        </w:rPr>
        <w:t>持续做好全市各级部门数据资源梳理，厘清资源现状，编制完善公共数据目录。结合政务服务事项清单，精准匹配政务数据目录，及时做好调整变更。编制《宿迁市公共数据分类分级指南》，推动数据分类分级工作扎实有效开展。</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（牵头单位：市大数据中心；配合单位：市各有关部门和单位，各县、区人民政府，市各功能区管委会）</w:t>
      </w:r>
    </w:p>
    <w:p>
      <w:pPr>
        <w:snapToGrid w:val="0"/>
        <w:spacing w:line="580" w:lineRule="exact"/>
        <w:ind w:firstLine="629"/>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持续推进数据汇聚归集。</w:t>
      </w:r>
      <w:r>
        <w:rPr>
          <w:rFonts w:ascii="Times New Roman" w:hAnsi="Times New Roman" w:eastAsia="方正仿宋_GBK" w:cs="Times New Roman"/>
          <w:color w:val="000000" w:themeColor="text1"/>
          <w:sz w:val="32"/>
          <w:szCs w:val="32"/>
          <w14:textFill>
            <w14:solidFill>
              <w14:schemeClr w14:val="tx1"/>
            </w14:solidFill>
          </w14:textFill>
        </w:rPr>
        <w:t>深入开展数据汇聚治理专项行动，加大重点工作急需数据的归集力度，努力实现应归尽归、按需共享。组织对已归集数据“回头看”，检查数据源头质量，</w:t>
      </w:r>
      <w:r>
        <w:rPr>
          <w:rFonts w:hint="eastAsia" w:ascii="Times New Roman" w:hAnsi="Times New Roman" w:eastAsia="方正仿宋_GBK" w:cs="Times New Roman"/>
          <w:color w:val="000000" w:themeColor="text1"/>
          <w:sz w:val="32"/>
          <w:szCs w:val="32"/>
          <w14:textFill>
            <w14:solidFill>
              <w14:schemeClr w14:val="tx1"/>
            </w14:solidFill>
          </w14:textFill>
        </w:rPr>
        <w:t>努力</w:t>
      </w:r>
      <w:r>
        <w:rPr>
          <w:rFonts w:ascii="Times New Roman" w:hAnsi="Times New Roman" w:eastAsia="方正仿宋_GBK" w:cs="Times New Roman"/>
          <w:color w:val="000000" w:themeColor="text1"/>
          <w:sz w:val="32"/>
          <w:szCs w:val="32"/>
          <w14:textFill>
            <w14:solidFill>
              <w14:schemeClr w14:val="tx1"/>
            </w14:solidFill>
          </w14:textFill>
        </w:rPr>
        <w:t>做到数据真实、完整、准确、通用。通过省、市数据共享体系，及时协调申请省级平台已有的国家部委、省级部门相关数据</w:t>
      </w:r>
      <w:r>
        <w:rPr>
          <w:rFonts w:hint="eastAsia" w:ascii="Times New Roman" w:hAnsi="Times New Roman" w:eastAsia="方正仿宋_GBK" w:cs="Times New Roman"/>
          <w:color w:val="000000" w:themeColor="text1"/>
          <w:sz w:val="32"/>
          <w:szCs w:val="32"/>
          <w14:textFill>
            <w14:solidFill>
              <w14:schemeClr w14:val="tx1"/>
            </w14:solidFill>
          </w14:textFill>
        </w:rPr>
        <w:t>在市域内授权使用</w:t>
      </w:r>
      <w:r>
        <w:rPr>
          <w:rFonts w:ascii="Times New Roman" w:hAnsi="Times New Roman" w:eastAsia="方正仿宋_GBK" w:cs="Times New Roman"/>
          <w:color w:val="000000" w:themeColor="text1"/>
          <w:sz w:val="32"/>
          <w:szCs w:val="32"/>
          <w14:textFill>
            <w14:solidFill>
              <w14:schemeClr w14:val="tx1"/>
            </w14:solidFill>
          </w14:textFill>
        </w:rPr>
        <w:t>。</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（牵头单位：市大数据中心；配合单位：市各有关部门和单位）</w:t>
      </w:r>
    </w:p>
    <w:p>
      <w:pPr>
        <w:snapToGrid w:val="0"/>
        <w:spacing w:line="580" w:lineRule="exact"/>
        <w:ind w:firstLine="629"/>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（四）</w:t>
      </w:r>
      <w:r>
        <w:rPr>
          <w:rFonts w:ascii="Times New Roman" w:hAnsi="Times New Roman" w:eastAsia="方正楷体_GBK" w:cs="Times New Roman"/>
          <w:color w:val="000000" w:themeColor="text1"/>
          <w:sz w:val="32"/>
          <w:szCs w:val="32"/>
          <w14:textFill>
            <w14:solidFill>
              <w14:schemeClr w14:val="tx1"/>
            </w14:solidFill>
          </w14:textFill>
        </w:rPr>
        <w:t>巩固提升基础数据库。</w:t>
      </w:r>
      <w:r>
        <w:rPr>
          <w:rFonts w:ascii="Times New Roman" w:hAnsi="Times New Roman" w:eastAsia="方正仿宋_GBK" w:cs="Times New Roman"/>
          <w:color w:val="000000" w:themeColor="text1"/>
          <w:sz w:val="32"/>
          <w:szCs w:val="32"/>
          <w14:textFill>
            <w14:solidFill>
              <w14:schemeClr w14:val="tx1"/>
            </w14:solidFill>
          </w14:textFill>
        </w:rPr>
        <w:t>对照《江苏省基础数据标准规范》要求，完善基础数据库。5月底前完成人口、法人库的治理工作扫尾，建立人口、法人数据治理长效机制。加强电子证照、CIM（时空大数据平台）等专业系统产生数据的入库和目录编制工作，保证</w:t>
      </w:r>
      <w:r>
        <w:rPr>
          <w:rFonts w:hint="eastAsia" w:ascii="Times New Roman" w:hAnsi="Times New Roman" w:eastAsia="方正仿宋_GBK" w:cs="Times New Roman"/>
          <w:color w:val="000000" w:themeColor="text1"/>
          <w:sz w:val="32"/>
          <w:szCs w:val="32"/>
          <w14:textFill>
            <w14:solidFill>
              <w14:schemeClr w14:val="tx1"/>
            </w14:solidFill>
          </w14:textFill>
        </w:rPr>
        <w:t>数据一致性</w:t>
      </w:r>
      <w:r>
        <w:rPr>
          <w:rFonts w:ascii="Times New Roman" w:hAnsi="Times New Roman" w:eastAsia="方正仿宋_GBK" w:cs="Times New Roman"/>
          <w:color w:val="000000" w:themeColor="text1"/>
          <w:sz w:val="32"/>
          <w:szCs w:val="32"/>
          <w14:textFill>
            <w14:solidFill>
              <w14:schemeClr w14:val="tx1"/>
            </w14:solidFill>
          </w14:textFill>
        </w:rPr>
        <w:t>。推动省</w:t>
      </w:r>
      <w:r>
        <w:rPr>
          <w:rFonts w:hint="eastAsia" w:ascii="Times New Roman" w:hAnsi="Times New Roman" w:eastAsia="方正仿宋_GBK" w:cs="Times New Roman"/>
          <w:color w:val="000000" w:themeColor="text1"/>
          <w:sz w:val="32"/>
          <w:szCs w:val="32"/>
          <w14:textFill>
            <w14:solidFill>
              <w14:schemeClr w14:val="tx1"/>
            </w14:solidFill>
          </w14:textFill>
        </w:rPr>
        <w:t>统一</w:t>
      </w:r>
      <w:r>
        <w:rPr>
          <w:rFonts w:ascii="Times New Roman" w:hAnsi="Times New Roman" w:eastAsia="方正仿宋_GBK" w:cs="Times New Roman"/>
          <w:color w:val="000000" w:themeColor="text1"/>
          <w:sz w:val="32"/>
          <w:szCs w:val="32"/>
          <w14:textFill>
            <w14:solidFill>
              <w14:schemeClr w14:val="tx1"/>
            </w14:solidFill>
          </w14:textFill>
        </w:rPr>
        <w:t>信用</w:t>
      </w:r>
      <w:r>
        <w:rPr>
          <w:rFonts w:hint="eastAsia" w:ascii="Times New Roman" w:hAnsi="Times New Roman" w:eastAsia="方正仿宋_GBK" w:cs="Times New Roman"/>
          <w:color w:val="000000" w:themeColor="text1"/>
          <w:sz w:val="32"/>
          <w:szCs w:val="32"/>
          <w14:textFill>
            <w14:solidFill>
              <w14:schemeClr w14:val="tx1"/>
            </w14:solidFill>
          </w14:textFill>
        </w:rPr>
        <w:t>信息平台</w:t>
      </w:r>
      <w:r>
        <w:rPr>
          <w:rFonts w:ascii="Times New Roman" w:hAnsi="Times New Roman" w:eastAsia="方正仿宋_GBK" w:cs="Times New Roman"/>
          <w:color w:val="000000" w:themeColor="text1"/>
          <w:sz w:val="32"/>
          <w:szCs w:val="32"/>
          <w14:textFill>
            <w14:solidFill>
              <w14:schemeClr w14:val="tx1"/>
            </w14:solidFill>
          </w14:textFill>
        </w:rPr>
        <w:t>本地建库，丰富我市信用基础库数据。</w:t>
      </w:r>
      <w:r>
        <w:rPr>
          <w:rFonts w:ascii="Times New Roman" w:hAnsi="Times New Roman" w:eastAsia="方正楷体_GBK" w:cs="Times New Roman"/>
          <w:color w:val="000000" w:themeColor="text1"/>
          <w:sz w:val="32"/>
          <w:szCs w:val="32"/>
          <w14:textFill>
            <w14:solidFill>
              <w14:schemeClr w14:val="tx1"/>
            </w14:solidFill>
          </w14:textFill>
        </w:rPr>
        <w:t>（市发展改革委、市公安局、市自然资源和规划局、市行政审批局、市市场监管局、市大数据中心等部门和单位按职责分工负责）</w:t>
      </w:r>
    </w:p>
    <w:p>
      <w:pPr>
        <w:snapToGrid w:val="0"/>
        <w:spacing w:line="580" w:lineRule="exact"/>
        <w:ind w:firstLine="629"/>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（五）</w:t>
      </w:r>
      <w:r>
        <w:rPr>
          <w:rFonts w:ascii="Times New Roman" w:hAnsi="Times New Roman" w:eastAsia="方正楷体_GBK" w:cs="Times New Roman"/>
          <w:color w:val="000000" w:themeColor="text1"/>
          <w:sz w:val="32"/>
          <w:szCs w:val="32"/>
          <w14:textFill>
            <w14:solidFill>
              <w14:schemeClr w14:val="tx1"/>
            </w14:solidFill>
          </w14:textFill>
        </w:rPr>
        <w:t>建设特色主、专题库。</w:t>
      </w:r>
      <w:r>
        <w:rPr>
          <w:rFonts w:ascii="Times New Roman" w:hAnsi="Times New Roman" w:eastAsia="方正仿宋_GBK" w:cs="Times New Roman"/>
          <w:color w:val="000000" w:themeColor="text1"/>
          <w:sz w:val="32"/>
          <w:szCs w:val="32"/>
          <w14:textFill>
            <w14:solidFill>
              <w14:schemeClr w14:val="tx1"/>
            </w14:solidFill>
          </w14:textFill>
        </w:rPr>
        <w:t>以应用</w:t>
      </w:r>
      <w:r>
        <w:rPr>
          <w:rFonts w:hint="eastAsia" w:ascii="Times New Roman" w:hAnsi="Times New Roman" w:eastAsia="方正仿宋_GBK" w:cs="Times New Roman"/>
          <w:color w:val="000000" w:themeColor="text1"/>
          <w:sz w:val="32"/>
          <w:szCs w:val="32"/>
          <w14:textFill>
            <w14:solidFill>
              <w14:schemeClr w14:val="tx1"/>
            </w14:solidFill>
          </w14:textFill>
        </w:rPr>
        <w:t>需求</w:t>
      </w:r>
      <w:r>
        <w:rPr>
          <w:rFonts w:ascii="Times New Roman" w:hAnsi="Times New Roman" w:eastAsia="方正仿宋_GBK" w:cs="Times New Roman"/>
          <w:color w:val="000000" w:themeColor="text1"/>
          <w:sz w:val="32"/>
          <w:szCs w:val="32"/>
          <w14:textFill>
            <w14:solidFill>
              <w14:schemeClr w14:val="tx1"/>
            </w14:solidFill>
          </w14:textFill>
        </w:rPr>
        <w:t>为导向，加大跨部门共用的主题库和部门内部整合的专题库建设力度，</w:t>
      </w:r>
      <w:r>
        <w:rPr>
          <w:rFonts w:hint="eastAsia" w:ascii="Times New Roman" w:hAnsi="Times New Roman" w:eastAsia="方正仿宋_GBK" w:cs="Times New Roman"/>
          <w:color w:val="000000" w:themeColor="text1"/>
          <w:sz w:val="32"/>
          <w:szCs w:val="32"/>
          <w14:textFill>
            <w14:solidFill>
              <w14:schemeClr w14:val="tx1"/>
            </w14:solidFill>
          </w14:textFill>
        </w:rPr>
        <w:t>年内</w:t>
      </w:r>
      <w:r>
        <w:rPr>
          <w:rFonts w:ascii="Times New Roman" w:hAnsi="Times New Roman" w:eastAsia="方正仿宋_GBK" w:cs="Times New Roman"/>
          <w:color w:val="000000" w:themeColor="text1"/>
          <w:sz w:val="32"/>
          <w:szCs w:val="32"/>
          <w14:textFill>
            <w14:solidFill>
              <w14:schemeClr w14:val="tx1"/>
            </w14:solidFill>
          </w14:textFill>
        </w:rPr>
        <w:t>建设形成</w:t>
      </w:r>
      <w:r>
        <w:rPr>
          <w:rFonts w:hint="eastAsia" w:ascii="Times New Roman" w:hAnsi="Times New Roman" w:eastAsia="方正仿宋_GBK" w:cs="Times New Roman"/>
          <w:color w:val="000000" w:themeColor="text1"/>
          <w:sz w:val="32"/>
          <w:szCs w:val="32"/>
          <w14:textFill>
            <w14:solidFill>
              <w14:schemeClr w14:val="tx1"/>
            </w14:solidFill>
          </w14:textFill>
        </w:rPr>
        <w:t>不低于5个</w:t>
      </w:r>
      <w:r>
        <w:rPr>
          <w:rFonts w:ascii="Times New Roman" w:hAnsi="Times New Roman" w:eastAsia="方正仿宋_GBK" w:cs="Times New Roman"/>
          <w:color w:val="000000" w:themeColor="text1"/>
          <w:sz w:val="32"/>
          <w:szCs w:val="32"/>
          <w14:textFill>
            <w14:solidFill>
              <w14:schemeClr w14:val="tx1"/>
            </w14:solidFill>
          </w14:textFill>
        </w:rPr>
        <w:t>高质量的主题库、专题库，为</w:t>
      </w:r>
      <w:r>
        <w:rPr>
          <w:rFonts w:hint="eastAsia" w:ascii="Times New Roman" w:hAnsi="Times New Roman" w:eastAsia="方正仿宋_GBK" w:cs="Times New Roman"/>
          <w:color w:val="000000" w:themeColor="text1"/>
          <w:sz w:val="32"/>
          <w:szCs w:val="32"/>
          <w14:textFill>
            <w14:solidFill>
              <w14:schemeClr w14:val="tx1"/>
            </w14:solidFill>
          </w14:textFill>
        </w:rPr>
        <w:t>打造</w:t>
      </w:r>
      <w:r>
        <w:rPr>
          <w:rFonts w:ascii="Times New Roman" w:hAnsi="Times New Roman" w:eastAsia="方正仿宋_GBK" w:cs="Times New Roman"/>
          <w:color w:val="000000" w:themeColor="text1"/>
          <w:sz w:val="32"/>
          <w:szCs w:val="32"/>
          <w14:textFill>
            <w14:solidFill>
              <w14:schemeClr w14:val="tx1"/>
            </w14:solidFill>
          </w14:textFill>
        </w:rPr>
        <w:t>更多智慧</w:t>
      </w:r>
      <w:r>
        <w:rPr>
          <w:rFonts w:hint="eastAsia" w:ascii="Times New Roman" w:hAnsi="Times New Roman" w:eastAsia="方正仿宋_GBK" w:cs="Times New Roman"/>
          <w:color w:val="000000" w:themeColor="text1"/>
          <w:sz w:val="32"/>
          <w:szCs w:val="32"/>
          <w14:textFill>
            <w14:solidFill>
              <w14:schemeClr w14:val="tx1"/>
            </w14:solidFill>
          </w14:textFill>
        </w:rPr>
        <w:t>化</w:t>
      </w:r>
      <w:r>
        <w:rPr>
          <w:rFonts w:ascii="Times New Roman" w:hAnsi="Times New Roman" w:eastAsia="方正仿宋_GBK" w:cs="Times New Roman"/>
          <w:color w:val="000000" w:themeColor="text1"/>
          <w:sz w:val="32"/>
          <w:szCs w:val="32"/>
          <w14:textFill>
            <w14:solidFill>
              <w14:schemeClr w14:val="tx1"/>
            </w14:solidFill>
          </w14:textFill>
        </w:rPr>
        <w:t>场景提升数据支撑。加强苏康码与人口、核酸检测等数据融合，5月底前</w:t>
      </w:r>
      <w:r>
        <w:rPr>
          <w:rFonts w:hint="eastAsia" w:ascii="Times New Roman" w:hAnsi="Times New Roman" w:eastAsia="方正仿宋_GBK" w:cs="Times New Roman"/>
          <w:color w:val="000000" w:themeColor="text1"/>
          <w:sz w:val="32"/>
          <w:szCs w:val="32"/>
          <w14:textFill>
            <w14:solidFill>
              <w14:schemeClr w14:val="tx1"/>
            </w14:solidFill>
          </w14:textFill>
        </w:rPr>
        <w:t>初步</w:t>
      </w:r>
      <w:r>
        <w:rPr>
          <w:rFonts w:ascii="Times New Roman" w:hAnsi="Times New Roman" w:eastAsia="方正仿宋_GBK" w:cs="Times New Roman"/>
          <w:color w:val="000000" w:themeColor="text1"/>
          <w:sz w:val="32"/>
          <w:szCs w:val="32"/>
          <w14:textFill>
            <w14:solidFill>
              <w14:schemeClr w14:val="tx1"/>
            </w14:solidFill>
          </w14:textFill>
        </w:rPr>
        <w:t>建成疫情联防联控主题数据库。</w:t>
      </w:r>
      <w:r>
        <w:rPr>
          <w:rFonts w:ascii="Times New Roman" w:hAnsi="Times New Roman" w:eastAsia="方正楷体_GBK" w:cs="Times New Roman"/>
          <w:color w:val="000000" w:themeColor="text1"/>
          <w:sz w:val="32"/>
          <w:szCs w:val="32"/>
          <w14:textFill>
            <w14:solidFill>
              <w14:schemeClr w14:val="tx1"/>
            </w14:solidFill>
          </w14:textFill>
        </w:rPr>
        <w:t>（责任单位：市各有关部门和单位，各县、区人民政府，市各功能区管委会）</w:t>
      </w:r>
    </w:p>
    <w:p>
      <w:pPr>
        <w:snapToGrid w:val="0"/>
        <w:spacing w:line="580" w:lineRule="exact"/>
        <w:ind w:firstLine="629"/>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（六）</w:t>
      </w:r>
      <w:r>
        <w:rPr>
          <w:rFonts w:ascii="Times New Roman" w:hAnsi="Times New Roman" w:eastAsia="方正楷体_GBK" w:cs="Times New Roman"/>
          <w:color w:val="000000" w:themeColor="text1"/>
          <w:sz w:val="32"/>
          <w:szCs w:val="32"/>
          <w14:textFill>
            <w14:solidFill>
              <w14:schemeClr w14:val="tx1"/>
            </w14:solidFill>
          </w14:textFill>
        </w:rPr>
        <w:t>推进公共数据依法有序开放。</w:t>
      </w:r>
      <w:r>
        <w:rPr>
          <w:rFonts w:ascii="Times New Roman" w:hAnsi="Times New Roman" w:eastAsia="方正仿宋_GBK" w:cs="Times New Roman"/>
          <w:color w:val="000000" w:themeColor="text1"/>
          <w:sz w:val="32"/>
          <w:szCs w:val="32"/>
          <w14:textFill>
            <w14:solidFill>
              <w14:schemeClr w14:val="tx1"/>
            </w14:solidFill>
          </w14:textFill>
        </w:rPr>
        <w:t>加强与省公共数据开放平台对接联动，每月开放一批数据</w:t>
      </w:r>
      <w:r>
        <w:rPr>
          <w:rFonts w:hint="eastAsia" w:ascii="Times New Roman" w:hAnsi="Times New Roman" w:eastAsia="方正仿宋_GBK" w:cs="Times New Roman"/>
          <w:color w:val="000000" w:themeColor="text1"/>
          <w:sz w:val="32"/>
          <w:szCs w:val="32"/>
          <w14:textFill>
            <w14:solidFill>
              <w14:schemeClr w14:val="tx1"/>
            </w14:solidFill>
          </w14:textFill>
        </w:rPr>
        <w:t>资源</w:t>
      </w:r>
      <w:r>
        <w:rPr>
          <w:rFonts w:ascii="Times New Roman" w:hAnsi="Times New Roman" w:eastAsia="方正仿宋_GBK" w:cs="Times New Roman"/>
          <w:color w:val="000000" w:themeColor="text1"/>
          <w:sz w:val="32"/>
          <w:szCs w:val="32"/>
          <w14:textFill>
            <w14:solidFill>
              <w14:schemeClr w14:val="tx1"/>
            </w14:solidFill>
          </w14:textFill>
        </w:rPr>
        <w:t>。研究开放方式，</w:t>
      </w:r>
      <w:r>
        <w:rPr>
          <w:rFonts w:hint="eastAsia" w:ascii="Times New Roman" w:hAnsi="Times New Roman" w:eastAsia="方正仿宋_GBK" w:cs="Times New Roman"/>
          <w:color w:val="000000" w:themeColor="text1"/>
          <w:sz w:val="32"/>
          <w:szCs w:val="32"/>
          <w14:textFill>
            <w14:solidFill>
              <w14:schemeClr w14:val="tx1"/>
            </w14:solidFill>
          </w14:textFill>
        </w:rPr>
        <w:t>技术上强化</w:t>
      </w:r>
      <w:r>
        <w:rPr>
          <w:rFonts w:ascii="Times New Roman" w:hAnsi="Times New Roman" w:eastAsia="方正仿宋_GBK" w:cs="Times New Roman"/>
          <w:color w:val="000000" w:themeColor="text1"/>
          <w:sz w:val="32"/>
          <w:szCs w:val="32"/>
          <w14:textFill>
            <w14:solidFill>
              <w14:schemeClr w14:val="tx1"/>
            </w14:solidFill>
          </w14:textFill>
        </w:rPr>
        <w:t>数据</w:t>
      </w:r>
      <w:r>
        <w:rPr>
          <w:rFonts w:hint="eastAsia" w:ascii="Times New Roman" w:hAnsi="Times New Roman" w:eastAsia="方正仿宋_GBK" w:cs="Times New Roman"/>
          <w:color w:val="000000" w:themeColor="text1"/>
          <w:sz w:val="32"/>
          <w:szCs w:val="32"/>
          <w14:textFill>
            <w14:solidFill>
              <w14:schemeClr w14:val="tx1"/>
            </w14:solidFill>
          </w14:textFill>
        </w:rPr>
        <w:t>“</w:t>
      </w:r>
      <w:r>
        <w:rPr>
          <w:rFonts w:ascii="Times New Roman" w:hAnsi="Times New Roman" w:eastAsia="方正仿宋_GBK" w:cs="Times New Roman"/>
          <w:color w:val="000000" w:themeColor="text1"/>
          <w:sz w:val="32"/>
          <w:szCs w:val="32"/>
          <w14:textFill>
            <w14:solidFill>
              <w14:schemeClr w14:val="tx1"/>
            </w14:solidFill>
          </w14:textFill>
        </w:rPr>
        <w:t>可用不可见</w:t>
      </w:r>
      <w:r>
        <w:rPr>
          <w:rFonts w:hint="eastAsia" w:ascii="Times New Roman" w:hAnsi="Times New Roman" w:eastAsia="方正仿宋_GBK" w:cs="Times New Roman"/>
          <w:color w:val="000000" w:themeColor="text1"/>
          <w:sz w:val="32"/>
          <w:szCs w:val="32"/>
          <w14:textFill>
            <w14:solidFill>
              <w14:schemeClr w14:val="tx1"/>
            </w14:solidFill>
          </w14:textFill>
        </w:rPr>
        <w:t>”</w:t>
      </w:r>
      <w:r>
        <w:rPr>
          <w:rFonts w:ascii="Times New Roman" w:hAnsi="Times New Roman" w:eastAsia="方正仿宋_GBK" w:cs="Times New Roman"/>
          <w:color w:val="000000" w:themeColor="text1"/>
          <w:sz w:val="32"/>
          <w:szCs w:val="32"/>
          <w14:textFill>
            <w14:solidFill>
              <w14:schemeClr w14:val="tx1"/>
            </w14:solidFill>
          </w14:textFill>
        </w:rPr>
        <w:t>。通过开展数据分类分级，推动更多高质量数据对外开放</w:t>
      </w:r>
      <w:r>
        <w:rPr>
          <w:rFonts w:hint="eastAsia" w:ascii="Times New Roman" w:hAnsi="Times New Roman" w:eastAsia="方正仿宋_GBK" w:cs="Times New Roman"/>
          <w:color w:val="000000" w:themeColor="text1"/>
          <w:sz w:val="32"/>
          <w:szCs w:val="32"/>
          <w14:textFill>
            <w14:solidFill>
              <w14:schemeClr w14:val="tx1"/>
            </w14:solidFill>
          </w14:textFill>
        </w:rPr>
        <w:t>。</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（牵头单位：市大数据管理局；配合单位：市各有关部门，各县、区人民政府，市各功能区管委会）</w:t>
      </w:r>
    </w:p>
    <w:p>
      <w:pPr>
        <w:snapToGrid w:val="0"/>
        <w:spacing w:line="580" w:lineRule="exact"/>
        <w:ind w:firstLine="63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（七）</w:t>
      </w:r>
      <w:r>
        <w:rPr>
          <w:rFonts w:ascii="Times New Roman" w:hAnsi="Times New Roman" w:eastAsia="方正楷体_GBK" w:cs="Times New Roman"/>
          <w:color w:val="000000" w:themeColor="text1"/>
          <w:sz w:val="32"/>
          <w:szCs w:val="32"/>
          <w14:textFill>
            <w14:solidFill>
              <w14:schemeClr w14:val="tx1"/>
            </w14:solidFill>
          </w14:textFill>
        </w:rPr>
        <w:t>建立视频、物联网共享平台。</w:t>
      </w:r>
      <w:r>
        <w:rPr>
          <w:rFonts w:ascii="Times New Roman" w:hAnsi="Times New Roman" w:eastAsia="方正仿宋_GBK" w:cs="Times New Roman"/>
          <w:color w:val="000000" w:themeColor="text1"/>
          <w:sz w:val="32"/>
          <w:szCs w:val="32"/>
          <w14:textFill>
            <w14:solidFill>
              <w14:schemeClr w14:val="tx1"/>
            </w14:solidFill>
          </w14:textFill>
        </w:rPr>
        <w:t>优化市、县（区）两级视频网络架构，提升视频数据跨网交换能力，实现视频数据高质量传输。建立市级视频共享交换平台，对视频点位信息进行目录化处理，形成视频数据主题目录，与市、县（区）视频数据关联，实现视频数据高效汇聚和共享。</w:t>
      </w:r>
      <w:r>
        <w:rPr>
          <w:rFonts w:ascii="Times New Roman" w:hAnsi="Times New Roman" w:eastAsia="方正楷体_GBK" w:cs="Times New Roman"/>
          <w:color w:val="000000" w:themeColor="text1"/>
          <w:sz w:val="32"/>
          <w:szCs w:val="32"/>
          <w14:textFill>
            <w14:solidFill>
              <w14:schemeClr w14:val="tx1"/>
            </w14:solidFill>
          </w14:textFill>
        </w:rPr>
        <w:t>（牵头单位：市公安局、市大数据中心；配合单位：市各有关部门和单位，各县、区人民政府，市各功能区管委会）</w:t>
      </w:r>
      <w:r>
        <w:rPr>
          <w:rFonts w:ascii="Times New Roman" w:hAnsi="Times New Roman" w:eastAsia="方正仿宋_GBK" w:cs="Times New Roman"/>
          <w:color w:val="000000" w:themeColor="text1"/>
          <w:sz w:val="32"/>
          <w:szCs w:val="32"/>
          <w14:textFill>
            <w14:solidFill>
              <w14:schemeClr w14:val="tx1"/>
            </w14:solidFill>
          </w14:textFill>
        </w:rPr>
        <w:t>建立市</w:t>
      </w:r>
      <w:r>
        <w:rPr>
          <w:rFonts w:hint="eastAsia" w:ascii="Times New Roman" w:hAnsi="Times New Roman" w:eastAsia="方正仿宋_GBK" w:cs="Times New Roman"/>
          <w:color w:val="000000" w:themeColor="text1"/>
          <w:sz w:val="32"/>
          <w:szCs w:val="32"/>
          <w14:textFill>
            <w14:solidFill>
              <w14:schemeClr w14:val="tx1"/>
            </w14:solidFill>
          </w14:textFill>
        </w:rPr>
        <w:t>级</w:t>
      </w:r>
      <w:r>
        <w:rPr>
          <w:rFonts w:ascii="Times New Roman" w:hAnsi="Times New Roman" w:eastAsia="方正仿宋_GBK" w:cs="Times New Roman"/>
          <w:color w:val="000000" w:themeColor="text1"/>
          <w:sz w:val="32"/>
          <w:szCs w:val="32"/>
          <w14:textFill>
            <w14:solidFill>
              <w14:schemeClr w14:val="tx1"/>
            </w14:solidFill>
          </w14:textFill>
        </w:rPr>
        <w:t>物联网共享交换平台，加强相关物联网数据的对接和目录化管理，实现物联传感数据的集中管理。</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（牵头单位：市大数据中心；责任单位：市各有关部门和单位，各县、区人民政府，市各功能区管委会）</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三、拓展公共数据融合应用场景</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支撑服务“一网通办”。</w:t>
      </w:r>
      <w:r>
        <w:rPr>
          <w:rFonts w:ascii="Times New Roman" w:hAnsi="Times New Roman" w:eastAsia="方正仿宋_GBK" w:cs="Times New Roman"/>
          <w:color w:val="000000" w:themeColor="text1"/>
          <w:sz w:val="32"/>
          <w:szCs w:val="32"/>
          <w14:textFill>
            <w14:solidFill>
              <w14:schemeClr w14:val="tx1"/>
            </w14:solidFill>
          </w14:textFill>
        </w:rPr>
        <w:t>围绕个人事项全领域和企业经营全周期服务需求，着力打通部门</w:t>
      </w:r>
      <w:r>
        <w:rPr>
          <w:rFonts w:hint="eastAsia" w:ascii="Times New Roman" w:hAnsi="Times New Roman" w:eastAsia="方正仿宋_GBK" w:cs="Times New Roman"/>
          <w:color w:val="000000" w:themeColor="text1"/>
          <w:sz w:val="32"/>
          <w:szCs w:val="32"/>
          <w14:textFill>
            <w14:solidFill>
              <w14:schemeClr w14:val="tx1"/>
            </w14:solidFill>
          </w14:textFill>
        </w:rPr>
        <w:t>之</w:t>
      </w:r>
      <w:r>
        <w:rPr>
          <w:rFonts w:ascii="Times New Roman" w:hAnsi="Times New Roman" w:eastAsia="方正仿宋_GBK" w:cs="Times New Roman"/>
          <w:color w:val="000000" w:themeColor="text1"/>
          <w:sz w:val="32"/>
          <w:szCs w:val="32"/>
          <w14:textFill>
            <w14:solidFill>
              <w14:schemeClr w14:val="tx1"/>
            </w14:solidFill>
          </w14:textFill>
        </w:rPr>
        <w:t>间数据流，通过数据共享</w:t>
      </w:r>
      <w:r>
        <w:rPr>
          <w:rFonts w:hint="eastAsia" w:ascii="Times New Roman" w:hAnsi="Times New Roman" w:eastAsia="方正仿宋_GBK" w:cs="Times New Roman"/>
          <w:color w:val="000000" w:themeColor="text1"/>
          <w:sz w:val="32"/>
          <w:szCs w:val="32"/>
          <w14:textFill>
            <w14:solidFill>
              <w14:schemeClr w14:val="tx1"/>
            </w14:solidFill>
          </w14:textFill>
        </w:rPr>
        <w:t>交换</w:t>
      </w:r>
      <w:r>
        <w:rPr>
          <w:rFonts w:ascii="Times New Roman" w:hAnsi="Times New Roman" w:eastAsia="方正仿宋_GBK" w:cs="Times New Roman"/>
          <w:color w:val="000000" w:themeColor="text1"/>
          <w:sz w:val="32"/>
          <w:szCs w:val="32"/>
          <w14:textFill>
            <w14:solidFill>
              <w14:schemeClr w14:val="tx1"/>
            </w14:solidFill>
          </w14:textFill>
        </w:rPr>
        <w:t>，促进全程网办、全城通办。重点支撑政务服务“一件事”改革，深化公共数据平台应用，加强数据供需对接，深化电子证照应用，服务打造“宿迁速办”品牌。推动“苏服码”对接和落地应用，实现政务服务线上线下融合。加强“省内通办”“跨省通办”和长三角“一网通办”的数据支撑力度。</w:t>
      </w:r>
      <w:r>
        <w:rPr>
          <w:rFonts w:ascii="Times New Roman" w:hAnsi="Times New Roman" w:eastAsia="方正楷体_GBK" w:cs="Times New Roman"/>
          <w:color w:val="000000" w:themeColor="text1"/>
          <w:sz w:val="32"/>
          <w:szCs w:val="32"/>
          <w14:textFill>
            <w14:solidFill>
              <w14:schemeClr w14:val="tx1"/>
            </w14:solidFill>
          </w14:textFill>
        </w:rPr>
        <w:t xml:space="preserve">（牵头单位：市行政审批局、市大数据管理局；配合单位：市各有关部门和单位，各县、区人民政府，市各功能区管委会） </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（二）支撑服务</w:t>
      </w:r>
      <w:r>
        <w:rPr>
          <w:rFonts w:ascii="Times New Roman" w:hAnsi="Times New Roman" w:eastAsia="方正楷体_GBK" w:cs="Times New Roman"/>
          <w:color w:val="000000" w:themeColor="text1"/>
          <w:sz w:val="32"/>
          <w:szCs w:val="32"/>
          <w14:textFill>
            <w14:solidFill>
              <w14:schemeClr w14:val="tx1"/>
            </w14:solidFill>
          </w14:textFill>
        </w:rPr>
        <w:t>“一网</w:t>
      </w:r>
      <w:r>
        <w:rPr>
          <w:rFonts w:hint="eastAsia" w:ascii="Times New Roman" w:hAnsi="Times New Roman" w:eastAsia="方正楷体_GBK" w:cs="Times New Roman"/>
          <w:color w:val="000000" w:themeColor="text1"/>
          <w:sz w:val="32"/>
          <w:szCs w:val="32"/>
          <w14:textFill>
            <w14:solidFill>
              <w14:schemeClr w14:val="tx1"/>
            </w14:solidFill>
          </w14:textFill>
        </w:rPr>
        <w:t>管全域</w:t>
      </w:r>
      <w:r>
        <w:rPr>
          <w:rFonts w:ascii="Times New Roman" w:hAnsi="Times New Roman" w:eastAsia="方正楷体_GBK" w:cs="Times New Roman"/>
          <w:color w:val="000000" w:themeColor="text1"/>
          <w:sz w:val="32"/>
          <w:szCs w:val="32"/>
          <w14:textFill>
            <w14:solidFill>
              <w14:schemeClr w14:val="tx1"/>
            </w14:solidFill>
          </w14:textFill>
        </w:rPr>
        <w:t>”。</w:t>
      </w:r>
      <w:r>
        <w:rPr>
          <w:rFonts w:ascii="Times New Roman" w:hAnsi="Times New Roman" w:eastAsia="方正仿宋_GBK" w:cs="Times New Roman"/>
          <w:color w:val="000000" w:themeColor="text1"/>
          <w:sz w:val="32"/>
          <w:szCs w:val="32"/>
          <w14:textFill>
            <w14:solidFill>
              <w14:schemeClr w14:val="tx1"/>
            </w14:solidFill>
          </w14:textFill>
        </w:rPr>
        <w:t>按照跨层级、跨部门联动机制和“观、管、防”一体化建设思路，围绕社会治理、城市管理、应急指挥、交通治理等领域，积极</w:t>
      </w:r>
      <w:r>
        <w:rPr>
          <w:rFonts w:hint="eastAsia" w:ascii="Times New Roman" w:hAnsi="Times New Roman" w:eastAsia="方正仿宋_GBK" w:cs="Times New Roman"/>
          <w:color w:val="000000" w:themeColor="text1"/>
          <w:sz w:val="32"/>
          <w:szCs w:val="32"/>
          <w14:textFill>
            <w14:solidFill>
              <w14:schemeClr w14:val="tx1"/>
            </w14:solidFill>
          </w14:textFill>
        </w:rPr>
        <w:t>开展数据归集、回流工作，</w:t>
      </w:r>
      <w:r>
        <w:rPr>
          <w:rFonts w:ascii="Times New Roman" w:hAnsi="Times New Roman" w:eastAsia="方正仿宋_GBK" w:cs="Times New Roman"/>
          <w:color w:val="000000" w:themeColor="text1"/>
          <w:sz w:val="32"/>
          <w:szCs w:val="32"/>
          <w14:textFill>
            <w14:solidFill>
              <w14:schemeClr w14:val="tx1"/>
            </w14:solidFill>
          </w14:textFill>
        </w:rPr>
        <w:t>探索建立“可感、可视、可控、可治”数字化治理新模式，形成智能感知态势、精准预警风险、高效决策指挥、快速协同处置等能力。聚力数据分析，提升城市数字化决策与管理水平。</w:t>
      </w:r>
      <w:r>
        <w:rPr>
          <w:rFonts w:ascii="Times New Roman" w:hAnsi="Times New Roman" w:eastAsia="方正楷体_GBK" w:cs="Times New Roman"/>
          <w:color w:val="000000" w:themeColor="text1"/>
          <w:sz w:val="32"/>
          <w:szCs w:val="32"/>
          <w14:textFill>
            <w14:solidFill>
              <w14:schemeClr w14:val="tx1"/>
            </w14:solidFill>
          </w14:textFill>
        </w:rPr>
        <w:t>（牵头单位：市市域社会治理现代化指挥中心；配合单位：市各有关部门和单位，各县、区人民政府，市各功能区管委会）</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推进公共数据资源开发利用。</w:t>
      </w:r>
      <w:r>
        <w:rPr>
          <w:rFonts w:ascii="Times New Roman" w:hAnsi="Times New Roman" w:eastAsia="方正仿宋_GBK" w:cs="Times New Roman"/>
          <w:color w:val="000000" w:themeColor="text1"/>
          <w:sz w:val="32"/>
          <w:szCs w:val="32"/>
          <w14:textFill>
            <w14:solidFill>
              <w14:schemeClr w14:val="tx1"/>
            </w14:solidFill>
          </w14:textFill>
        </w:rPr>
        <w:t>鼓励和支持国有大数据公司发展，探索多元投入、快速建设、数据运营等新模式。联合金融、供电、供水、供气等部门，聚焦开发公共数据利用场景，拓展大数据合作领域。适时策划举办数据开发应用竞赛，发掘大数据创意方案和创新应用，激发市场活力和社会创造力，营造公共数据开发利用良好氛围。</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（牵头单位：市大数据管理局、市产发集团；配合单位：市各有关部门和单位，各县、区人民政府，市各功能区管委会）</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四、提高基础设施保障水平</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构建新一代电子政务外网。</w:t>
      </w:r>
      <w:r>
        <w:rPr>
          <w:rFonts w:ascii="Times New Roman" w:hAnsi="Times New Roman" w:eastAsia="方正仿宋_GBK" w:cs="Times New Roman"/>
          <w:color w:val="000000" w:themeColor="text1"/>
          <w:sz w:val="32"/>
          <w:szCs w:val="32"/>
          <w14:textFill>
            <w14:solidFill>
              <w14:schemeClr w14:val="tx1"/>
            </w14:solidFill>
          </w14:textFill>
        </w:rPr>
        <w:t>优化升级电子政务外网，开展电子政务外网IPv4/IPv6双栈建设，实现与省级骨干网双栈互通。推进电子政务外网运维及安管平台应用，提升电子政务外网安全管理水平。按照省级工作部署，加快部门专网向</w:t>
      </w:r>
      <w:r>
        <w:rPr>
          <w:rFonts w:hint="eastAsia" w:ascii="Times New Roman" w:hAnsi="Times New Roman" w:eastAsia="方正仿宋_GBK" w:cs="Times New Roman"/>
          <w:color w:val="000000" w:themeColor="text1"/>
          <w:sz w:val="32"/>
          <w:szCs w:val="32"/>
          <w14:textFill>
            <w14:solidFill>
              <w14:schemeClr w14:val="tx1"/>
            </w14:solidFill>
          </w14:textFill>
        </w:rPr>
        <w:t>电子</w:t>
      </w:r>
      <w:r>
        <w:rPr>
          <w:rFonts w:ascii="Times New Roman" w:hAnsi="Times New Roman" w:eastAsia="方正仿宋_GBK" w:cs="Times New Roman"/>
          <w:color w:val="000000" w:themeColor="text1"/>
          <w:sz w:val="32"/>
          <w:szCs w:val="32"/>
          <w14:textFill>
            <w14:solidFill>
              <w14:schemeClr w14:val="tx1"/>
            </w14:solidFill>
          </w14:textFill>
        </w:rPr>
        <w:t>政务外网迁移工作。</w:t>
      </w:r>
      <w:r>
        <w:rPr>
          <w:rFonts w:ascii="Times New Roman" w:hAnsi="Times New Roman" w:eastAsia="方正楷体_GBK" w:cs="Times New Roman"/>
          <w:color w:val="000000" w:themeColor="text1"/>
          <w:sz w:val="32"/>
          <w:szCs w:val="32"/>
          <w14:textFill>
            <w14:solidFill>
              <w14:schemeClr w14:val="tx1"/>
            </w14:solidFill>
          </w14:textFill>
        </w:rPr>
        <w:t>（牵头单位：市行政审批局，配合单位：市各有关部门和单位，各县、区人民政府，市各功能区管委会）</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提升政务云平台服务效能。</w:t>
      </w:r>
      <w:r>
        <w:rPr>
          <w:rFonts w:ascii="Times New Roman" w:hAnsi="Times New Roman" w:eastAsia="方正仿宋_GBK" w:cs="Times New Roman"/>
          <w:color w:val="000000" w:themeColor="text1"/>
          <w:sz w:val="32"/>
          <w:szCs w:val="32"/>
          <w14:textFill>
            <w14:solidFill>
              <w14:schemeClr w14:val="tx1"/>
            </w14:solidFill>
          </w14:textFill>
        </w:rPr>
        <w:t>拓宽政务云互联网区与电子政务外网区之间网络通道，提升跨网安全交换服务能力。7月底前，建立政务云视频网专区，提升视频传输核心承载能力和安全防护能力。推动政务云平台技术架构升级，力争6月底具备运行条件。充分利用省大数据中心麒麟灾备中心和常州电信云灾备中心资源，推动重要数据异地备份。探索研究同城主从互备节点建设，充分发挥县级已有数据中心作用，实现重要数据分钟级同步备份，构筑更加完善的数据备份体系。</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（牵头单位：市大数据中心；配合单位：市各有关部门和单位，各县、区人民政府，市各功能区管委会）</w:t>
      </w:r>
    </w:p>
    <w:p>
      <w:pPr>
        <w:snapToGrid w:val="0"/>
        <w:spacing w:line="580" w:lineRule="exact"/>
        <w:ind w:firstLine="63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构建一体化政务云运管体系。</w:t>
      </w:r>
      <w:r>
        <w:rPr>
          <w:rFonts w:ascii="Times New Roman" w:hAnsi="Times New Roman" w:eastAsia="方正仿宋_GBK" w:cs="Times New Roman"/>
          <w:color w:val="000000" w:themeColor="text1"/>
          <w:sz w:val="32"/>
          <w:szCs w:val="32"/>
          <w14:textFill>
            <w14:solidFill>
              <w14:schemeClr w14:val="tx1"/>
            </w14:solidFill>
          </w14:textFill>
        </w:rPr>
        <w:t>强化集约化建设，推动县区、部门政务信息系统上云集中运管，构建全市政务“一朵云”，实行市、县（区）分级管理、一体运行。每季度开展“回头看”，监测各业务系统在线</w:t>
      </w:r>
      <w:r>
        <w:rPr>
          <w:rFonts w:hint="eastAsia" w:ascii="Times New Roman" w:hAnsi="Times New Roman" w:eastAsia="方正仿宋_GBK" w:cs="Times New Roman"/>
          <w:color w:val="000000" w:themeColor="text1"/>
          <w:sz w:val="32"/>
          <w:szCs w:val="32"/>
          <w14:textFill>
            <w14:solidFill>
              <w14:schemeClr w14:val="tx1"/>
            </w14:solidFill>
          </w14:textFill>
        </w:rPr>
        <w:t>运行</w:t>
      </w:r>
      <w:r>
        <w:rPr>
          <w:rFonts w:ascii="Times New Roman" w:hAnsi="Times New Roman" w:eastAsia="方正仿宋_GBK" w:cs="Times New Roman"/>
          <w:color w:val="000000" w:themeColor="text1"/>
          <w:sz w:val="32"/>
          <w:szCs w:val="32"/>
          <w14:textFill>
            <w14:solidFill>
              <w14:schemeClr w14:val="tx1"/>
            </w14:solidFill>
          </w14:textFill>
        </w:rPr>
        <w:t>情况，准确掌握实际利用率，及时释放闲置资源，坚决清理僵尸系统，提升政务云集约化利用水平。</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（牵头单位：市大数据中心；配合单位：市各有关部门和单位，各县、区人民政府，市各功能区管委会）</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五、筑牢大数据应用安全防线</w:t>
      </w:r>
    </w:p>
    <w:p>
      <w:pPr>
        <w:snapToGrid w:val="0"/>
        <w:spacing w:line="580" w:lineRule="exact"/>
        <w:ind w:firstLine="640" w:firstLineChars="20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提高安全管理水平。</w:t>
      </w:r>
      <w:r>
        <w:rPr>
          <w:rFonts w:ascii="Times New Roman" w:hAnsi="Times New Roman" w:eastAsia="方正仿宋_GBK" w:cs="Times New Roman"/>
          <w:color w:val="000000" w:themeColor="text1"/>
          <w:sz w:val="32"/>
          <w:szCs w:val="32"/>
          <w14:textFill>
            <w14:solidFill>
              <w14:schemeClr w14:val="tx1"/>
            </w14:solidFill>
          </w14:textFill>
        </w:rPr>
        <w:t>统筹政务云安全防护体系建设，推进政务云由提供“云网”服务向“云、网、安全”一体转变，确保通过中央网信办云计算服务安全评估审查。</w:t>
      </w:r>
      <w:r>
        <w:rPr>
          <w:rFonts w:ascii="Times New Roman" w:hAnsi="Times New Roman" w:eastAsia="方正楷体_GBK" w:cs="Times New Roman"/>
          <w:color w:val="000000" w:themeColor="text1"/>
          <w:sz w:val="32"/>
          <w:szCs w:val="32"/>
          <w14:textFill>
            <w14:solidFill>
              <w14:schemeClr w14:val="tx1"/>
            </w14:solidFill>
          </w14:textFill>
        </w:rPr>
        <w:t>（责任单位：市大数据中心）</w:t>
      </w:r>
      <w:r>
        <w:rPr>
          <w:rFonts w:ascii="Times New Roman" w:hAnsi="Times New Roman" w:eastAsia="方正仿宋_GBK" w:cs="Times New Roman"/>
          <w:color w:val="000000" w:themeColor="text1"/>
          <w:sz w:val="32"/>
          <w:szCs w:val="32"/>
          <w14:textFill>
            <w14:solidFill>
              <w14:schemeClr w14:val="tx1"/>
            </w14:solidFill>
          </w14:textFill>
        </w:rPr>
        <w:t>依托政务云安全态势感知监测平台，加强主动监测、智能感知和威胁</w:t>
      </w:r>
      <w:r>
        <w:rPr>
          <w:rFonts w:hint="eastAsia" w:ascii="Times New Roman" w:hAnsi="Times New Roman" w:eastAsia="方正仿宋_GBK" w:cs="Times New Roman"/>
          <w:color w:val="000000" w:themeColor="text1"/>
          <w:sz w:val="32"/>
          <w:szCs w:val="32"/>
          <w14:textFill>
            <w14:solidFill>
              <w14:schemeClr w14:val="tx1"/>
            </w14:solidFill>
          </w14:textFill>
        </w:rPr>
        <w:t>研判</w:t>
      </w:r>
      <w:r>
        <w:rPr>
          <w:rFonts w:ascii="Times New Roman" w:hAnsi="Times New Roman" w:eastAsia="方正仿宋_GBK" w:cs="Times New Roman"/>
          <w:color w:val="000000" w:themeColor="text1"/>
          <w:sz w:val="32"/>
          <w:szCs w:val="32"/>
          <w14:textFill>
            <w14:solidFill>
              <w14:schemeClr w14:val="tx1"/>
            </w14:solidFill>
          </w14:textFill>
        </w:rPr>
        <w:t>，实现政务云从被动保护向主动安全防控转变，提升政务云安全风险管控能力。落实数据安全和个人信息保护相关法律法规规定，重点实施公共数据分级管控措施，开展敏感数据监测，加强重要数据保护。</w:t>
      </w:r>
      <w:r>
        <w:rPr>
          <w:rFonts w:ascii="Times New Roman" w:hAnsi="Times New Roman" w:eastAsia="方正楷体_GBK" w:cs="Times New Roman"/>
          <w:color w:val="000000" w:themeColor="text1"/>
          <w:sz w:val="32"/>
          <w:szCs w:val="32"/>
          <w14:textFill>
            <w14:solidFill>
              <w14:schemeClr w14:val="tx1"/>
            </w14:solidFill>
          </w14:textFill>
        </w:rPr>
        <w:t>（牵头单位：市委网信办；配合单位：市大数据中心）</w:t>
      </w:r>
    </w:p>
    <w:p>
      <w:pPr>
        <w:snapToGrid w:val="0"/>
        <w:spacing w:line="580" w:lineRule="exact"/>
        <w:ind w:firstLine="640" w:firstLineChars="20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建设公共密码应用资源池。</w:t>
      </w:r>
      <w:r>
        <w:rPr>
          <w:rFonts w:ascii="Times New Roman" w:hAnsi="Times New Roman" w:eastAsia="方正仿宋_GBK" w:cs="Times New Roman"/>
          <w:color w:val="000000" w:themeColor="text1"/>
          <w:sz w:val="32"/>
          <w:szCs w:val="32"/>
          <w14:textFill>
            <w14:solidFill>
              <w14:schemeClr w14:val="tx1"/>
            </w14:solidFill>
          </w14:textFill>
        </w:rPr>
        <w:t>落实密码应用评估有关要求，依托政务云及密钥管理平台，规划建设公共商用密码应用服务体系，6月底前提供基础加解密服务。</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（牵头单位：市大数据中心；配合单位：市密码管理局、市行政审批局）</w:t>
      </w:r>
    </w:p>
    <w:p>
      <w:pPr>
        <w:snapToGrid w:val="0"/>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开展重点系统安全评估。</w:t>
      </w:r>
      <w:r>
        <w:rPr>
          <w:rFonts w:ascii="Times New Roman" w:hAnsi="Times New Roman" w:eastAsia="方正仿宋_GBK" w:cs="Times New Roman"/>
          <w:color w:val="000000" w:themeColor="text1"/>
          <w:sz w:val="32"/>
          <w:szCs w:val="32"/>
          <w14:textFill>
            <w14:solidFill>
              <w14:schemeClr w14:val="tx1"/>
            </w14:solidFill>
          </w14:textFill>
        </w:rPr>
        <w:t>定期开展上云系统安全风险评估，通过漏洞扫描、渗透测试、合规检查等多重手段，排查安全风险隐患，提高云平台重大安全事件应急响应处置能力。加强等保测评、安全通报、攻防演练、安全重保等领域协作联动。</w:t>
      </w:r>
      <w:r>
        <w:rPr>
          <w:rFonts w:ascii="Times New Roman" w:hAnsi="Times New Roman" w:eastAsia="方正楷体_GBK" w:cs="Times New Roman"/>
          <w:color w:val="000000" w:themeColor="text1"/>
          <w:sz w:val="32"/>
          <w:szCs w:val="32"/>
          <w14:textFill>
            <w14:solidFill>
              <w14:schemeClr w14:val="tx1"/>
            </w14:solidFill>
          </w14:textFill>
        </w:rPr>
        <w:t>（市委网信办、市公安局、市大数据中心按职责分工负责）</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六、规范政务信息化项目建设</w:t>
      </w:r>
    </w:p>
    <w:p>
      <w:pPr>
        <w:snapToGrid w:val="0"/>
        <w:spacing w:line="580" w:lineRule="exact"/>
        <w:ind w:firstLine="640" w:firstLineChars="20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加强项目建设管理。</w:t>
      </w:r>
      <w:r>
        <w:rPr>
          <w:rFonts w:ascii="Times New Roman" w:hAnsi="Times New Roman" w:eastAsia="方正仿宋_GBK" w:cs="Times New Roman"/>
          <w:color w:val="000000" w:themeColor="text1"/>
          <w:sz w:val="32"/>
          <w:szCs w:val="32"/>
          <w14:textFill>
            <w14:solidFill>
              <w14:schemeClr w14:val="tx1"/>
            </w14:solidFill>
          </w14:textFill>
        </w:rPr>
        <w:t>建立政务信息化项目建设管理联审会商机制</w:t>
      </w:r>
      <w:r>
        <w:rPr>
          <w:rFonts w:hint="eastAsia" w:ascii="Times New Roman" w:hAnsi="Times New Roman" w:eastAsia="方正仿宋_GBK" w:cs="Times New Roman"/>
          <w:color w:val="000000" w:themeColor="text1"/>
          <w:sz w:val="32"/>
          <w:szCs w:val="32"/>
          <w14:textFill>
            <w14:solidFill>
              <w14:schemeClr w14:val="tx1"/>
            </w14:solidFill>
          </w14:textFill>
        </w:rPr>
        <w:t>。完善政务信息化项目建设全生命周期审核监管流程</w:t>
      </w:r>
      <w:r>
        <w:rPr>
          <w:rFonts w:ascii="Times New Roman" w:hAnsi="Times New Roman" w:eastAsia="方正仿宋_GBK" w:cs="Times New Roman"/>
          <w:color w:val="000000" w:themeColor="text1"/>
          <w:sz w:val="32"/>
          <w:szCs w:val="32"/>
          <w14:textFill>
            <w14:solidFill>
              <w14:schemeClr w14:val="tx1"/>
            </w14:solidFill>
          </w14:textFill>
        </w:rPr>
        <w:t>，加强项目申报、审核、管理、验收等全过程管理，同步开展政务信息系统和数据资源摸底工作。按照“一事一平台，一行业一系统”原则，推进项目集约化建设，加强资源整合。常态化开展政务信息系统审计监督，排查建设管理、应用绩效、网络和信息安全等工作中的突出问题和风险隐患。</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（牵头单位：市大数据管理局；配合单位：市委网信办、市发展改革委、市财政局、市审计局）</w:t>
      </w:r>
    </w:p>
    <w:p>
      <w:pPr>
        <w:snapToGrid w:val="0"/>
        <w:spacing w:line="580" w:lineRule="exact"/>
        <w:ind w:firstLine="640" w:firstLineChars="20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推进智慧城市项目建设。</w:t>
      </w:r>
      <w:r>
        <w:rPr>
          <w:rFonts w:ascii="Times New Roman" w:hAnsi="Times New Roman" w:eastAsia="方正仿宋_GBK" w:cs="Times New Roman"/>
          <w:color w:val="000000" w:themeColor="text1"/>
          <w:sz w:val="32"/>
          <w:szCs w:val="32"/>
          <w14:textFill>
            <w14:solidFill>
              <w14:schemeClr w14:val="tx1"/>
            </w14:solidFill>
          </w14:textFill>
        </w:rPr>
        <w:t>充分发挥市智慧城市建设领导小组办公室职能，统筹推进《宿迁市新型智慧城市总体规划》《智慧</w:t>
      </w:r>
      <w:r>
        <w:rPr>
          <w:rFonts w:hint="eastAsia" w:ascii="Times New Roman" w:hAnsi="Times New Roman" w:eastAsia="方正仿宋_GBK" w:cs="Times New Roman"/>
          <w:color w:val="000000" w:themeColor="text1"/>
          <w:sz w:val="32"/>
          <w:szCs w:val="32"/>
          <w14:textFill>
            <w14:solidFill>
              <w14:schemeClr w14:val="tx1"/>
            </w14:solidFill>
          </w14:textFill>
        </w:rPr>
        <w:t>宿迁</w:t>
      </w:r>
      <w:r>
        <w:rPr>
          <w:rFonts w:ascii="Times New Roman" w:hAnsi="Times New Roman" w:eastAsia="方正仿宋_GBK" w:cs="Times New Roman"/>
          <w:color w:val="000000" w:themeColor="text1"/>
          <w:sz w:val="32"/>
          <w:szCs w:val="32"/>
          <w14:textFill>
            <w14:solidFill>
              <w14:schemeClr w14:val="tx1"/>
            </w14:solidFill>
          </w14:textFill>
        </w:rPr>
        <w:t>建设三年行动计划》落地见效。</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（牵头单位：市大数据管理局；配合单位：市各有关部门和单位，各县、区人民政府，市各功能区管委会）</w:t>
      </w:r>
      <w:r>
        <w:rPr>
          <w:rFonts w:ascii="Times New Roman" w:hAnsi="Times New Roman" w:eastAsia="方正仿宋_GBK" w:cs="Times New Roman"/>
          <w:color w:val="000000" w:themeColor="text1"/>
          <w:sz w:val="32"/>
          <w:szCs w:val="32"/>
          <w14:textFill>
            <w14:solidFill>
              <w14:schemeClr w14:val="tx1"/>
            </w14:solidFill>
          </w14:textFill>
        </w:rPr>
        <w:t>有序推进交通综合指挥平台、智慧管网、食安大脑、数字驾驶舱、智慧公积金等智慧城市第二批项目建设，确保年内高质量完成建设任务。</w:t>
      </w:r>
      <w:r>
        <w:rPr>
          <w:rFonts w:ascii="Times New Roman" w:hAnsi="Times New Roman" w:eastAsia="方正楷体_GBK" w:cs="Times New Roman"/>
          <w:color w:val="000000" w:themeColor="text1"/>
          <w:sz w:val="32"/>
          <w:szCs w:val="32"/>
          <w14:textFill>
            <w14:solidFill>
              <w14:schemeClr w14:val="tx1"/>
            </w14:solidFill>
          </w14:textFill>
        </w:rPr>
        <w:t>（牵头单位：市市域社会治理现代化指挥中心；配合单位：市交通运输局、市</w:t>
      </w:r>
      <w:r>
        <w:rPr>
          <w:rFonts w:hint="eastAsia" w:ascii="Times New Roman" w:hAnsi="Times New Roman" w:eastAsia="方正楷体_GBK" w:cs="Times New Roman"/>
          <w:color w:val="000000" w:themeColor="text1"/>
          <w:sz w:val="32"/>
          <w:szCs w:val="32"/>
          <w:lang w:eastAsia="zh-CN"/>
          <w14:textFill>
            <w14:solidFill>
              <w14:schemeClr w14:val="tx1"/>
            </w14:solidFill>
          </w14:textFill>
        </w:rPr>
        <w:t>住房和城乡建设局</w:t>
      </w:r>
      <w:r>
        <w:rPr>
          <w:rFonts w:ascii="Times New Roman" w:hAnsi="Times New Roman" w:eastAsia="方正楷体_GBK" w:cs="Times New Roman"/>
          <w:color w:val="000000" w:themeColor="text1"/>
          <w:sz w:val="32"/>
          <w:szCs w:val="32"/>
          <w14:textFill>
            <w14:solidFill>
              <w14:schemeClr w14:val="tx1"/>
            </w14:solidFill>
          </w14:textFill>
        </w:rPr>
        <w:t>、市市场监管局、市</w:t>
      </w:r>
      <w:r>
        <w:rPr>
          <w:rFonts w:hint="eastAsia" w:ascii="Times New Roman" w:hAnsi="Times New Roman" w:eastAsia="方正楷体_GBK" w:cs="Times New Roman"/>
          <w:color w:val="000000" w:themeColor="text1"/>
          <w:sz w:val="32"/>
          <w:szCs w:val="32"/>
          <w14:textFill>
            <w14:solidFill>
              <w14:schemeClr w14:val="tx1"/>
            </w14:solidFill>
          </w14:textFill>
        </w:rPr>
        <w:t>住房</w:t>
      </w:r>
      <w:r>
        <w:rPr>
          <w:rFonts w:ascii="Times New Roman" w:hAnsi="Times New Roman" w:eastAsia="方正楷体_GBK" w:cs="Times New Roman"/>
          <w:color w:val="000000" w:themeColor="text1"/>
          <w:sz w:val="32"/>
          <w:szCs w:val="32"/>
          <w14:textFill>
            <w14:solidFill>
              <w14:schemeClr w14:val="tx1"/>
            </w14:solidFill>
          </w14:textFill>
        </w:rPr>
        <w:t>公积金</w:t>
      </w:r>
      <w:r>
        <w:rPr>
          <w:rFonts w:hint="eastAsia" w:ascii="Times New Roman" w:hAnsi="Times New Roman" w:eastAsia="方正楷体_GBK" w:cs="Times New Roman"/>
          <w:color w:val="000000" w:themeColor="text1"/>
          <w:sz w:val="32"/>
          <w:szCs w:val="32"/>
          <w14:textFill>
            <w14:solidFill>
              <w14:schemeClr w14:val="tx1"/>
            </w14:solidFill>
          </w14:textFill>
        </w:rPr>
        <w:t>管理</w:t>
      </w:r>
      <w:r>
        <w:rPr>
          <w:rFonts w:ascii="Times New Roman" w:hAnsi="Times New Roman" w:eastAsia="方正楷体_GBK" w:cs="Times New Roman"/>
          <w:color w:val="000000" w:themeColor="text1"/>
          <w:sz w:val="32"/>
          <w:szCs w:val="32"/>
          <w14:textFill>
            <w14:solidFill>
              <w14:schemeClr w14:val="tx1"/>
            </w14:solidFill>
          </w14:textFill>
        </w:rPr>
        <w:t>中心）</w:t>
      </w:r>
    </w:p>
    <w:p>
      <w:pPr>
        <w:snapToGrid w:val="0"/>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七、建强大数据工作支撑体系</w:t>
      </w:r>
    </w:p>
    <w:p>
      <w:pPr>
        <w:snapToGrid w:val="0"/>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（一）</w:t>
      </w:r>
      <w:r>
        <w:rPr>
          <w:rFonts w:ascii="Times New Roman" w:hAnsi="Times New Roman" w:eastAsia="方正楷体_GBK" w:cs="Times New Roman"/>
          <w:color w:val="000000" w:themeColor="text1"/>
          <w:sz w:val="32"/>
          <w:szCs w:val="32"/>
          <w14:textFill>
            <w14:solidFill>
              <w14:schemeClr w14:val="tx1"/>
            </w14:solidFill>
          </w14:textFill>
        </w:rPr>
        <w:t>开展技术交流合作。</w:t>
      </w:r>
      <w:r>
        <w:rPr>
          <w:rFonts w:ascii="Times New Roman" w:hAnsi="Times New Roman" w:eastAsia="方正仿宋_GBK" w:cs="Times New Roman"/>
          <w:color w:val="000000" w:themeColor="text1"/>
          <w:sz w:val="32"/>
          <w:szCs w:val="32"/>
          <w14:textFill>
            <w14:solidFill>
              <w14:schemeClr w14:val="tx1"/>
            </w14:solidFill>
          </w14:textFill>
        </w:rPr>
        <w:t>谋划建设网络信息数字安全融合（宿迁）中心，集聚大数据专业技术支撑队伍。</w:t>
      </w:r>
      <w:r>
        <w:rPr>
          <w:rFonts w:ascii="Times New Roman" w:hAnsi="Times New Roman" w:eastAsia="方正楷体_GBK" w:cs="Times New Roman"/>
          <w:color w:val="000000" w:themeColor="text1"/>
          <w:sz w:val="32"/>
          <w:szCs w:val="32"/>
          <w14:textFill>
            <w14:solidFill>
              <w14:schemeClr w14:val="tx1"/>
            </w14:solidFill>
          </w14:textFill>
        </w:rPr>
        <w:t>（牵头单位：市委网信办；配合单位：市公安局、市大数据管理局，宿城区人民政府）</w:t>
      </w:r>
      <w:r>
        <w:rPr>
          <w:rFonts w:ascii="Times New Roman" w:hAnsi="Times New Roman" w:eastAsia="方正仿宋_GBK" w:cs="Times New Roman"/>
          <w:color w:val="000000" w:themeColor="text1"/>
          <w:sz w:val="32"/>
          <w:szCs w:val="32"/>
          <w14:textFill>
            <w14:solidFill>
              <w14:schemeClr w14:val="tx1"/>
            </w14:solidFill>
          </w14:textFill>
        </w:rPr>
        <w:t>围绕数字政府、数字经济等领域的大数据研究应用，探索与具有影响力的国内专业机构合作，加强与宿迁学院等开展校地合作。</w:t>
      </w:r>
      <w:r>
        <w:rPr>
          <w:rFonts w:ascii="Times New Roman" w:hAnsi="Times New Roman" w:eastAsia="方正楷体_GBK" w:cs="Times New Roman"/>
          <w:color w:val="000000" w:themeColor="text1"/>
          <w:sz w:val="32"/>
          <w:szCs w:val="32"/>
          <w14:textFill>
            <w14:solidFill>
              <w14:schemeClr w14:val="tx1"/>
            </w14:solidFill>
          </w14:textFill>
        </w:rPr>
        <w:t>（责任单位：市大数据管理局）</w:t>
      </w:r>
    </w:p>
    <w:p>
      <w:pPr>
        <w:snapToGrid w:val="0"/>
        <w:spacing w:line="580" w:lineRule="exact"/>
        <w:ind w:firstLine="63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（二）</w:t>
      </w:r>
      <w:r>
        <w:rPr>
          <w:rFonts w:ascii="Times New Roman" w:hAnsi="Times New Roman" w:eastAsia="方正楷体_GBK" w:cs="Times New Roman"/>
          <w:color w:val="000000" w:themeColor="text1"/>
          <w:sz w:val="32"/>
          <w:szCs w:val="32"/>
          <w14:textFill>
            <w14:solidFill>
              <w14:schemeClr w14:val="tx1"/>
            </w14:solidFill>
          </w14:textFill>
        </w:rPr>
        <w:t>打造高素质人才队伍。</w:t>
      </w:r>
      <w:r>
        <w:rPr>
          <w:rFonts w:ascii="Times New Roman" w:hAnsi="Times New Roman" w:eastAsia="方正仿宋_GBK" w:cs="Times New Roman"/>
          <w:color w:val="000000" w:themeColor="text1"/>
          <w:sz w:val="32"/>
          <w:szCs w:val="32"/>
          <w14:textFill>
            <w14:solidFill>
              <w14:schemeClr w14:val="tx1"/>
            </w14:solidFill>
          </w14:textFill>
        </w:rPr>
        <w:t>每季度召开一次大数据业务座谈会，加强县区、部门之间业务交流。每半年举办一期“大数据讲堂”，邀请省级部门、高校教授、专家学者授课培训。年内组织赴知名高校开展一期全市大数据业务专题培训班。合理配置大数据机构专业技术岗位，加强专业人才引进。紧盯项目招标和建设的关键环节，建立健全内控制度，营造风清气正、干事创业的良好生态。</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（牵头单位：市大数据管理局；配合单位：市各有关部门和单位，各县、区人民政府，市各功能区管委会）</w:t>
      </w:r>
    </w:p>
    <w:p>
      <w:pPr>
        <w:snapToGrid w:val="0"/>
        <w:spacing w:line="580" w:lineRule="exact"/>
        <w:ind w:firstLine="630"/>
        <w:rPr>
          <w:rFonts w:ascii="Times New Roman" w:hAnsi="Times New Roman" w:eastAsia="方正楷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（三）</w:t>
      </w:r>
      <w:r>
        <w:rPr>
          <w:rFonts w:ascii="Times New Roman" w:hAnsi="Times New Roman" w:eastAsia="方正楷体_GBK" w:cs="Times New Roman"/>
          <w:color w:val="000000" w:themeColor="text1"/>
          <w:sz w:val="32"/>
          <w:szCs w:val="32"/>
          <w14:textFill>
            <w14:solidFill>
              <w14:schemeClr w14:val="tx1"/>
            </w14:solidFill>
          </w14:textFill>
        </w:rPr>
        <w:t>建立科学考评体系。</w:t>
      </w:r>
      <w:r>
        <w:rPr>
          <w:rFonts w:ascii="Times New Roman" w:hAnsi="Times New Roman" w:eastAsia="方正仿宋_GBK" w:cs="Times New Roman"/>
          <w:color w:val="000000" w:themeColor="text1"/>
          <w:sz w:val="32"/>
          <w:szCs w:val="32"/>
          <w14:textFill>
            <w14:solidFill>
              <w14:schemeClr w14:val="tx1"/>
            </w14:solidFill>
          </w14:textFill>
        </w:rPr>
        <w:t>充分发挥考核“指挥棒”作用，建立重点突出、务实管用的考核评价机制。结合2022年全省营商环境评价方案相关指标，研究制定县区、部门的专项考核规则，年终进行通报表彰，指导和促进县区、部门工作开展，形成共建合力，确保2022年全省营商环境评价取得好成绩。</w:t>
      </w:r>
      <w:r>
        <w:rPr>
          <w:rFonts w:ascii="Times New Roman" w:hAnsi="Times New Roman" w:eastAsia="方正楷体_GBK" w:cs="Times New Roman"/>
          <w:color w:val="000000" w:themeColor="text1"/>
          <w:sz w:val="32"/>
          <w:szCs w:val="32"/>
          <w14:textFill>
            <w14:solidFill>
              <w14:schemeClr w14:val="tx1"/>
            </w14:solidFill>
          </w14:textFill>
        </w:rPr>
        <w:t>（牵头单位：市大数据管理局；配合单位：市各有关部门和单位，各县、区人民政府，市各功能区管委会）</w:t>
      </w:r>
    </w:p>
    <w:p>
      <w:pPr>
        <w:spacing w:line="580" w:lineRule="exact"/>
        <w:ind w:firstLine="640" w:firstLineChars="200"/>
        <w:rPr>
          <w:rFonts w:ascii="Times New Roman" w:hAnsi="Times New Roman" w:eastAsia="方正黑体_GBK" w:cs="Times New Roman"/>
          <w:color w:val="000000" w:themeColor="text1"/>
          <w:sz w:val="32"/>
          <w:szCs w:val="32"/>
          <w14:textFill>
            <w14:solidFill>
              <w14:schemeClr w14:val="tx1"/>
            </w14:solidFill>
          </w14:textFill>
        </w:rPr>
      </w:pPr>
      <w:r>
        <w:rPr>
          <w:rFonts w:hint="eastAsia" w:ascii="Times New Roman" w:hAnsi="Times New Roman" w:eastAsia="方正楷体_GBK" w:cs="Times New Roman"/>
          <w:color w:val="000000" w:themeColor="text1"/>
          <w:sz w:val="32"/>
          <w:szCs w:val="32"/>
          <w14:textFill>
            <w14:solidFill>
              <w14:schemeClr w14:val="tx1"/>
            </w14:solidFill>
          </w14:textFill>
        </w:rPr>
        <w:t>（四）</w:t>
      </w:r>
      <w:r>
        <w:rPr>
          <w:rFonts w:ascii="Times New Roman" w:hAnsi="Times New Roman" w:eastAsia="方正楷体_GBK" w:cs="Times New Roman"/>
          <w:color w:val="000000" w:themeColor="text1"/>
          <w:sz w:val="32"/>
          <w:szCs w:val="32"/>
          <w14:textFill>
            <w14:solidFill>
              <w14:schemeClr w14:val="tx1"/>
            </w14:solidFill>
          </w14:textFill>
        </w:rPr>
        <w:t>做好经验总结宣传。</w:t>
      </w:r>
      <w:r>
        <w:rPr>
          <w:rFonts w:ascii="Times New Roman" w:hAnsi="Times New Roman" w:eastAsia="方正仿宋_GBK" w:cs="Times New Roman"/>
          <w:color w:val="000000" w:themeColor="text1"/>
          <w:sz w:val="32"/>
          <w:szCs w:val="32"/>
          <w14:textFill>
            <w14:solidFill>
              <w14:schemeClr w14:val="tx1"/>
            </w14:solidFill>
          </w14:textFill>
        </w:rPr>
        <w:t>加强数据共享、开放、集约化建设等方面经验总结</w:t>
      </w:r>
      <w:r>
        <w:rPr>
          <w:rFonts w:hint="eastAsia" w:ascii="Times New Roman" w:hAnsi="Times New Roman" w:eastAsia="方正仿宋_GBK" w:cs="Times New Roman"/>
          <w:color w:val="000000" w:themeColor="text1"/>
          <w:sz w:val="32"/>
          <w:szCs w:val="32"/>
          <w14:textFill>
            <w14:solidFill>
              <w14:schemeClr w14:val="tx1"/>
            </w14:solidFill>
          </w14:textFill>
        </w:rPr>
        <w:t>和宣传</w:t>
      </w:r>
      <w:r>
        <w:rPr>
          <w:rFonts w:ascii="Times New Roman" w:hAnsi="Times New Roman" w:eastAsia="方正仿宋_GBK" w:cs="Times New Roman"/>
          <w:color w:val="000000" w:themeColor="text1"/>
          <w:sz w:val="32"/>
          <w:szCs w:val="32"/>
          <w14:textFill>
            <w14:solidFill>
              <w14:schemeClr w14:val="tx1"/>
            </w14:solidFill>
          </w14:textFill>
        </w:rPr>
        <w:t>，挖掘典型应用案例，及时向省数字化发展信息服务平台报送。开展2022年大数据创新应用项目征集活动，组织专家对征集项目进行评审入库，年底</w:t>
      </w:r>
      <w:r>
        <w:rPr>
          <w:rFonts w:hint="eastAsia" w:ascii="Times New Roman" w:hAnsi="Times New Roman" w:eastAsia="方正仿宋_GBK" w:cs="Times New Roman"/>
          <w:color w:val="000000" w:themeColor="text1"/>
          <w:sz w:val="32"/>
          <w:szCs w:val="32"/>
          <w14:textFill>
            <w14:solidFill>
              <w14:schemeClr w14:val="tx1"/>
            </w14:solidFill>
          </w14:textFill>
        </w:rPr>
        <w:t>面向社会</w:t>
      </w:r>
      <w:r>
        <w:rPr>
          <w:rFonts w:ascii="Times New Roman" w:hAnsi="Times New Roman" w:eastAsia="方正仿宋_GBK" w:cs="Times New Roman"/>
          <w:color w:val="000000" w:themeColor="text1"/>
          <w:sz w:val="32"/>
          <w:szCs w:val="32"/>
          <w14:textFill>
            <w14:solidFill>
              <w14:schemeClr w14:val="tx1"/>
            </w14:solidFill>
          </w14:textFill>
        </w:rPr>
        <w:t>发布全市大数据创新应用十大典型案例。</w:t>
      </w:r>
      <w:r>
        <w:rPr>
          <w:rFonts w:ascii="Times New Roman" w:hAnsi="Times New Roman" w:eastAsia="方正楷体_GBK" w:cs="Times New Roman"/>
          <w:color w:val="000000" w:themeColor="text1"/>
          <w:sz w:val="32"/>
          <w:szCs w:val="32"/>
          <w14:textFill>
            <w14:solidFill>
              <w14:schemeClr w14:val="tx1"/>
            </w14:solidFill>
          </w14:textFill>
        </w:rPr>
        <w:t>（牵头单位：市大数据中心；配合单位：市各有关部门和单位，各县、区人民政府，</w:t>
      </w:r>
      <w:r>
        <w:rPr>
          <w:rFonts w:hint="eastAsia" w:ascii="Times New Roman" w:hAnsi="Times New Roman" w:eastAsia="方正楷体_GBK" w:cs="Times New Roman"/>
          <w:color w:val="000000" w:themeColor="text1"/>
          <w:sz w:val="32"/>
          <w:szCs w:val="32"/>
          <w14:textFill>
            <w14:solidFill>
              <w14:schemeClr w14:val="tx1"/>
            </w14:solidFill>
          </w14:textFill>
        </w:rPr>
        <w:t>市</w:t>
      </w:r>
      <w:r>
        <w:rPr>
          <w:rFonts w:ascii="Times New Roman" w:hAnsi="Times New Roman" w:eastAsia="方正楷体_GBK" w:cs="Times New Roman"/>
          <w:color w:val="000000" w:themeColor="text1"/>
          <w:sz w:val="32"/>
          <w:szCs w:val="32"/>
          <w14:textFill>
            <w14:solidFill>
              <w14:schemeClr w14:val="tx1"/>
            </w14:solidFill>
          </w14:textFill>
        </w:rPr>
        <w:t>各功能区管委会）</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ascii="Times New Roman" w:hAnsi="Times New Roman" w:eastAsia="方正仿宋_GBK" w:cs="Times New Roman"/>
          <w:color w:val="000000" w:themeColor="text1"/>
          <w:sz w:val="32"/>
          <w:szCs w:val="32"/>
          <w14:textFill>
            <w14:solidFill>
              <w14:schemeClr w14:val="tx1"/>
            </w14:solidFill>
          </w14:textFill>
        </w:rPr>
        <w:t>附件：宿迁市大数据建设应用评价细则（试行）</w:t>
      </w: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pStyle w:val="2"/>
        <w:rPr>
          <w:rFonts w:ascii="Times New Roman" w:hAnsi="Times New Roman" w:eastAsia="方正黑体_GBK" w:cs="Times New Roman"/>
          <w:color w:val="000000" w:themeColor="text1"/>
          <w14:textFill>
            <w14:solidFill>
              <w14:schemeClr w14:val="tx1"/>
            </w14:solidFill>
          </w14:textFill>
        </w:rPr>
      </w:pPr>
    </w:p>
    <w:p>
      <w:pPr>
        <w:rPr>
          <w:rFonts w:ascii="Times New Roman" w:hAnsi="Times New Roman" w:eastAsia="方正黑体_GBK" w:cs="Times New Roman"/>
          <w:color w:val="000000" w:themeColor="text1"/>
          <w:sz w:val="32"/>
          <w:szCs w:val="32"/>
          <w14:textFill>
            <w14:solidFill>
              <w14:schemeClr w14:val="tx1"/>
            </w14:solidFill>
          </w14:textFill>
        </w:rPr>
      </w:pPr>
    </w:p>
    <w:p>
      <w:pPr>
        <w:pStyle w:val="2"/>
      </w:pP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黑体_GBK" w:cs="Times New Roman"/>
          <w:color w:val="000000" w:themeColor="text1"/>
          <w:sz w:val="32"/>
          <w:szCs w:val="32"/>
          <w14:textFill>
            <w14:solidFill>
              <w14:schemeClr w14:val="tx1"/>
            </w14:solidFill>
          </w14:textFill>
        </w:rPr>
      </w:pPr>
    </w:p>
    <w:p>
      <w:pPr>
        <w:pStyle w:val="2"/>
        <w:rPr>
          <w:rFonts w:ascii="Times New Roman" w:hAnsi="Times New Roman" w:eastAsia="方正黑体_GBK" w:cs="Times New Roman"/>
          <w:color w:val="000000" w:themeColor="text1"/>
          <w14:textFill>
            <w14:solidFill>
              <w14:schemeClr w14:val="tx1"/>
            </w14:solidFill>
          </w14:textFill>
        </w:rPr>
      </w:pPr>
    </w:p>
    <w:p>
      <w:pPr>
        <w:rPr>
          <w:rFonts w:ascii="Times New Roman" w:hAnsi="Times New Roman" w:eastAsia="方正黑体_GBK" w:cs="Times New Roman"/>
          <w:color w:val="000000" w:themeColor="text1"/>
          <w:sz w:val="32"/>
          <w:szCs w:val="32"/>
          <w14:textFill>
            <w14:solidFill>
              <w14:schemeClr w14:val="tx1"/>
            </w14:solidFill>
          </w14:textFill>
        </w:rPr>
      </w:pPr>
    </w:p>
    <w:p>
      <w:pPr>
        <w:spacing w:line="580" w:lineRule="exact"/>
        <w:rPr>
          <w:rFonts w:ascii="Times New Roman" w:hAnsi="Times New Roman" w:eastAsia="方正小标宋_GBK" w:cs="Times New Roman"/>
          <w:color w:val="000000" w:themeColor="text1"/>
          <w:sz w:val="44"/>
          <w:szCs w:val="44"/>
          <w:shd w:val="clear" w:color="auto" w:fill="FFFFFF"/>
          <w14:textFill>
            <w14:solidFill>
              <w14:schemeClr w14:val="tx1"/>
            </w14:solidFill>
          </w14:textFill>
        </w:rPr>
      </w:pPr>
      <w:r>
        <w:rPr>
          <w:rFonts w:ascii="Times New Roman" w:hAnsi="Times New Roman" w:eastAsia="方正黑体_GBK" w:cs="Times New Roman"/>
          <w:color w:val="000000" w:themeColor="text1"/>
          <w:sz w:val="32"/>
          <w:szCs w:val="32"/>
          <w14:textFill>
            <w14:solidFill>
              <w14:schemeClr w14:val="tx1"/>
            </w14:solidFill>
          </w14:textFill>
        </w:rPr>
        <w:t>附件</w:t>
      </w:r>
    </w:p>
    <w:p>
      <w:pPr>
        <w:spacing w:line="580" w:lineRule="exact"/>
        <w:ind w:firstLine="880" w:firstLineChars="200"/>
        <w:jc w:val="center"/>
        <w:rPr>
          <w:rFonts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宿迁市大数据建设应用评价细则</w:t>
      </w:r>
    </w:p>
    <w:p>
      <w:pPr>
        <w:spacing w:line="580" w:lineRule="exact"/>
        <w:ind w:firstLine="640" w:firstLineChars="200"/>
        <w:jc w:val="center"/>
        <w:rPr>
          <w:rFonts w:ascii="方正楷体_GBK" w:hAnsi="方正楷体_GBK" w:eastAsia="方正楷体_GBK" w:cs="方正楷体_GBK"/>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（试行）</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p>
    <w:p>
      <w:pPr>
        <w:spacing w:line="580" w:lineRule="exact"/>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一、评价对象和档次划分</w:t>
      </w:r>
    </w:p>
    <w:p>
      <w:pPr>
        <w:spacing w:line="580" w:lineRule="exact"/>
        <w:ind w:firstLine="640" w:firstLineChars="200"/>
        <w:rPr>
          <w:rFonts w:ascii="方正楷体_GBK" w:hAnsi="方正楷体_GBK" w:eastAsia="方正楷体_GBK" w:cs="方正楷体_GBK"/>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（一）评价范围</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各县区、市各功能区，市各有关部门和单位。</w:t>
      </w:r>
    </w:p>
    <w:p>
      <w:pPr>
        <w:spacing w:line="580" w:lineRule="exact"/>
        <w:ind w:firstLine="640" w:firstLineChars="200"/>
        <w:rPr>
          <w:rFonts w:ascii="方正楷体_GBK" w:hAnsi="方正楷体_GBK" w:eastAsia="方正楷体_GBK" w:cs="方正楷体_GBK"/>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（二）档次划分</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1．各县区、市各功能区（共9家）</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第一档（5家）：沭阳县、泗阳县、泗洪县、宿豫区、宿城区。</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第二档（4家）：宿迁经济技术开发区、市湖滨新区、苏州宿迁工业园区、市洋河新区。</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2．市各有关部门和单位（共34家）</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第一档（22家）：市发展改革委、市教育局、市工业和信息化局、市公安局、市民政局、市财政局、市人力资源社会保障局、市自然资源和规划局、市生态环境局、市</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住房和城乡建设局</w:t>
      </w:r>
      <w:r>
        <w:rPr>
          <w:rFonts w:hint="eastAsia" w:ascii="Times New Roman" w:hAnsi="Times New Roman" w:eastAsia="方正仿宋_GBK" w:cs="Times New Roman"/>
          <w:color w:val="000000" w:themeColor="text1"/>
          <w:sz w:val="32"/>
          <w:szCs w:val="32"/>
          <w14:textFill>
            <w14:solidFill>
              <w14:schemeClr w14:val="tx1"/>
            </w14:solidFill>
          </w14:textFill>
        </w:rPr>
        <w:t>、市城管局、市交通运输局、市水利局、市农业农村局、市商务局、市文化广电和旅游局、市卫生健康委、市医保局、市应急管理局、市行政审批局、市市场监管局、市统计局。</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第二档（12家）：市科技局、市民族宗教局、市司法局、市退役军人事务局、市审计局、市外办、市国资委、市体育局、市信访局、市地方金融监管局、市机关事务管理局、市供销合作社。</w:t>
      </w:r>
    </w:p>
    <w:p>
      <w:pPr>
        <w:spacing w:line="580" w:lineRule="exact"/>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二、评价内容</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（一）组织体系建设情况。</w:t>
      </w:r>
      <w:r>
        <w:rPr>
          <w:rFonts w:hint="eastAsia" w:ascii="Times New Roman" w:hAnsi="Times New Roman" w:eastAsia="方正仿宋_GBK" w:cs="Times New Roman"/>
          <w:color w:val="000000" w:themeColor="text1"/>
          <w:sz w:val="32"/>
          <w:szCs w:val="32"/>
          <w14:textFill>
            <w14:solidFill>
              <w14:schemeClr w14:val="tx1"/>
            </w14:solidFill>
          </w14:textFill>
        </w:rPr>
        <w:t>各地、各部门政务数据共享工作体制机制等健全情况。</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（二）政务信息化管理情况。</w:t>
      </w:r>
      <w:r>
        <w:rPr>
          <w:rFonts w:hint="eastAsia" w:ascii="Times New Roman" w:hAnsi="Times New Roman" w:eastAsia="方正仿宋_GBK" w:cs="Times New Roman"/>
          <w:color w:val="000000" w:themeColor="text1"/>
          <w:sz w:val="32"/>
          <w:szCs w:val="32"/>
          <w14:textFill>
            <w14:solidFill>
              <w14:schemeClr w14:val="tx1"/>
            </w14:solidFill>
          </w14:textFill>
        </w:rPr>
        <w:t>各县区扎口管理本地区政务信息化项目管理，统筹推动项目安全防护以及集约化建设等；市各有关部门和单位按照《宿迁市市级政务信息化项目建设管理办法》，规范申报项目，集约整合信息系统，合理利用云资源，加强信息系统安全防护。</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（三）数据管理情况。</w:t>
      </w:r>
      <w:r>
        <w:rPr>
          <w:rFonts w:hint="eastAsia" w:ascii="Times New Roman" w:hAnsi="Times New Roman" w:eastAsia="方正仿宋_GBK" w:cs="Times New Roman"/>
          <w:color w:val="000000" w:themeColor="text1"/>
          <w:sz w:val="32"/>
          <w:szCs w:val="32"/>
          <w14:textFill>
            <w14:solidFill>
              <w14:schemeClr w14:val="tx1"/>
            </w14:solidFill>
          </w14:textFill>
        </w:rPr>
        <w:t>各地、各部门按照《江苏省公共数据管理办法》，依托市政务数据共享交换平台开展数据归集、分类分级、资源挂接、供需对接、数据开放等，以及利用大数据创新应用场景建设。</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14:textFill>
            <w14:solidFill>
              <w14:schemeClr w14:val="tx1"/>
            </w14:solidFill>
          </w14:textFill>
        </w:rPr>
        <w:t>（四）加分指标。</w:t>
      </w:r>
      <w:r>
        <w:rPr>
          <w:rFonts w:hint="eastAsia" w:ascii="Times New Roman" w:hAnsi="Times New Roman" w:eastAsia="方正仿宋_GBK" w:cs="Times New Roman"/>
          <w:color w:val="000000" w:themeColor="text1"/>
          <w:sz w:val="32"/>
          <w:szCs w:val="32"/>
          <w14:textFill>
            <w14:solidFill>
              <w14:schemeClr w14:val="tx1"/>
            </w14:solidFill>
          </w14:textFill>
        </w:rPr>
        <w:t>对各地、各部门创新应用场景建设、重点工作完成情况等进行加分。</w:t>
      </w:r>
    </w:p>
    <w:p>
      <w:pPr>
        <w:spacing w:line="580" w:lineRule="exact"/>
        <w:ind w:firstLine="640" w:firstLineChars="200"/>
        <w:rPr>
          <w:rFonts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三、考评结果应用</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市政府办公室定期对评价情况进行通报，年终对评价结果优秀的单位和个人进行表彰，评价结果作为年度营商环境评价中政务数据共享指标的主要参考依据。</w:t>
      </w:r>
    </w:p>
    <w:p>
      <w:pPr>
        <w:spacing w:line="58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sectPr>
          <w:footerReference r:id="rId3" w:type="default"/>
          <w:pgSz w:w="11906" w:h="16838"/>
          <w:pgMar w:top="2098" w:right="1531" w:bottom="1928" w:left="1531" w:header="851" w:footer="1474" w:gutter="0"/>
          <w:cols w:space="0" w:num="1"/>
          <w:docGrid w:type="lines" w:linePitch="312" w:charSpace="0"/>
        </w:sectPr>
      </w:pPr>
    </w:p>
    <w:p>
      <w:pPr>
        <w:widowControl/>
        <w:snapToGrid w:val="0"/>
        <w:spacing w:after="157" w:afterLines="50" w:line="580" w:lineRule="exact"/>
        <w:jc w:val="center"/>
        <w:rPr>
          <w:rFonts w:ascii="Times New Roman" w:hAnsi="Times New Roman" w:eastAsia="方正小标宋_GBK" w:cs="Times New Roman"/>
          <w:color w:val="000000" w:themeColor="text1"/>
          <w:sz w:val="44"/>
          <w:szCs w:val="44"/>
          <w14:textFill>
            <w14:solidFill>
              <w14:schemeClr w14:val="tx1"/>
            </w14:solidFill>
          </w14:textFill>
        </w:rPr>
      </w:pPr>
      <w:r>
        <w:rPr>
          <w:rFonts w:ascii="Times New Roman" w:hAnsi="Times New Roman" w:eastAsia="方正小标宋_GBK" w:cs="Times New Roman"/>
          <w:color w:val="000000" w:themeColor="text1"/>
          <w:sz w:val="44"/>
          <w:szCs w:val="44"/>
          <w14:textFill>
            <w14:solidFill>
              <w14:schemeClr w14:val="tx1"/>
            </w14:solidFill>
          </w14:textFill>
        </w:rPr>
        <w:t>县区（功能区）大数据建设应用评价指标</w:t>
      </w:r>
    </w:p>
    <w:tbl>
      <w:tblPr>
        <w:tblStyle w:val="8"/>
        <w:tblW w:w="91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1203"/>
        <w:gridCol w:w="1134"/>
        <w:gridCol w:w="5509"/>
        <w:gridCol w:w="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35" w:type="dxa"/>
            <w:vAlign w:val="center"/>
          </w:tcPr>
          <w:p>
            <w:pPr>
              <w:widowControl/>
              <w:snapToGrid w:val="0"/>
              <w:spacing w:line="260" w:lineRule="exact"/>
              <w:rPr>
                <w:rFonts w:ascii="Times New Roman" w:hAnsi="Times New Roman" w:eastAsia="方正黑体_GBK" w:cs="Times New Roman"/>
                <w:color w:val="000000" w:themeColor="text1"/>
                <w:sz w:val="20"/>
                <w:szCs w:val="20"/>
                <w14:textFill>
                  <w14:solidFill>
                    <w14:schemeClr w14:val="tx1"/>
                  </w14:solidFill>
                </w14:textFill>
              </w:rPr>
            </w:pPr>
            <w:bookmarkStart w:id="0" w:name="OLE_LINK1"/>
            <w:r>
              <w:rPr>
                <w:rFonts w:ascii="Times New Roman" w:hAnsi="Times New Roman" w:eastAsia="方正黑体_GBK" w:cs="Times New Roman"/>
                <w:color w:val="000000" w:themeColor="text1"/>
                <w:sz w:val="20"/>
                <w:szCs w:val="20"/>
                <w14:textFill>
                  <w14:solidFill>
                    <w14:schemeClr w14:val="tx1"/>
                  </w14:solidFill>
                </w14:textFill>
              </w:rPr>
              <w:t>序号</w:t>
            </w:r>
          </w:p>
        </w:tc>
        <w:tc>
          <w:tcPr>
            <w:tcW w:w="1203" w:type="dxa"/>
            <w:vAlign w:val="center"/>
          </w:tcPr>
          <w:p>
            <w:pPr>
              <w:widowControl/>
              <w:snapToGrid w:val="0"/>
              <w:spacing w:line="26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一级指标</w:t>
            </w:r>
          </w:p>
        </w:tc>
        <w:tc>
          <w:tcPr>
            <w:tcW w:w="1134" w:type="dxa"/>
            <w:vAlign w:val="center"/>
          </w:tcPr>
          <w:p>
            <w:pPr>
              <w:widowControl/>
              <w:snapToGrid w:val="0"/>
              <w:spacing w:line="26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二级指标</w:t>
            </w:r>
          </w:p>
        </w:tc>
        <w:tc>
          <w:tcPr>
            <w:tcW w:w="5509" w:type="dxa"/>
            <w:vAlign w:val="center"/>
          </w:tcPr>
          <w:p>
            <w:pPr>
              <w:widowControl/>
              <w:snapToGrid w:val="0"/>
              <w:spacing w:line="260" w:lineRule="exact"/>
              <w:ind w:firstLine="400"/>
              <w:jc w:val="center"/>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评分方法</w:t>
            </w:r>
          </w:p>
        </w:tc>
        <w:tc>
          <w:tcPr>
            <w:tcW w:w="645" w:type="dxa"/>
            <w:vAlign w:val="center"/>
          </w:tcPr>
          <w:p>
            <w:pPr>
              <w:widowControl/>
              <w:snapToGrid w:val="0"/>
              <w:spacing w:line="26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w:t>
            </w:r>
          </w:p>
        </w:tc>
        <w:tc>
          <w:tcPr>
            <w:tcW w:w="1203"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体制机制</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（10分）</w:t>
            </w: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人员配置</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明确本地区政务数据共享的分管负责人（首席数据官CDO）得3分，否则不得分。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机构设立</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明确负责本地区政务数据共享的主管部门得2分，否则不得分。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业务培训</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本年度组织开展公共数据共享应用相关业务培训，每次得1分。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制度建设</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根据制度完善和执行情况，</w:t>
            </w:r>
            <w:r>
              <w:rPr>
                <w:rFonts w:hint="eastAsia" w:ascii="Times New Roman" w:hAnsi="Times New Roman" w:eastAsia="方正仿宋_GBK" w:cs="Times New Roman"/>
                <w:color w:val="000000" w:themeColor="text1"/>
                <w:sz w:val="20"/>
                <w:szCs w:val="20"/>
                <w14:textFill>
                  <w14:solidFill>
                    <w14:schemeClr w14:val="tx1"/>
                  </w14:solidFill>
                </w14:textFill>
              </w:rPr>
              <w:t>视完成情况打</w:t>
            </w:r>
            <w:r>
              <w:rPr>
                <w:rFonts w:ascii="Times New Roman" w:hAnsi="Times New Roman" w:eastAsia="方正仿宋_GBK" w:cs="Times New Roman"/>
                <w:color w:val="000000" w:themeColor="text1"/>
                <w:sz w:val="20"/>
                <w:szCs w:val="20"/>
                <w14:textFill>
                  <w14:solidFill>
                    <w14:schemeClr w14:val="tx1"/>
                  </w14:solidFill>
                </w14:textFill>
              </w:rPr>
              <w:t>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2</w:t>
            </w:r>
          </w:p>
        </w:tc>
        <w:tc>
          <w:tcPr>
            <w:tcW w:w="1203"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政务信息化项目</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（20分）</w:t>
            </w: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项目管理</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根据项目管理开展情况和项目建设计划编排情况，</w:t>
            </w:r>
            <w:r>
              <w:rPr>
                <w:rFonts w:hint="eastAsia" w:ascii="Times New Roman" w:hAnsi="Times New Roman" w:eastAsia="方正仿宋_GBK" w:cs="Times New Roman"/>
                <w:color w:val="000000" w:themeColor="text1"/>
                <w:sz w:val="20"/>
                <w:szCs w:val="20"/>
                <w14:textFill>
                  <w14:solidFill>
                    <w14:schemeClr w14:val="tx1"/>
                  </w14:solidFill>
                </w14:textFill>
              </w:rPr>
              <w:t>视完成情况</w:t>
            </w:r>
            <w:r>
              <w:rPr>
                <w:rFonts w:ascii="Times New Roman" w:hAnsi="Times New Roman" w:eastAsia="方正仿宋_GBK" w:cs="Times New Roman"/>
                <w:color w:val="000000" w:themeColor="text1"/>
                <w:sz w:val="20"/>
                <w:szCs w:val="20"/>
                <w14:textFill>
                  <w14:solidFill>
                    <w14:schemeClr w14:val="tx1"/>
                  </w14:solidFill>
                </w14:textFill>
              </w:rPr>
              <w:t>打分。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集约化</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建设</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对重复建设、无正当理由未上政务云等现象，每发现一个扣1分。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安全防护</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未按要求开展等保测评或等保测评不合格的扣1分。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w:t>
            </w:r>
          </w:p>
        </w:tc>
        <w:tc>
          <w:tcPr>
            <w:tcW w:w="1203"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数据管理</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（70分）</w:t>
            </w: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数据汇聚治理</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对目录清单编制、目录编制数量、编目单位覆盖范围、有对应资源的目录比例等进行综合评定；随机抽查数据质量，对未及时更新、数据完整性较差等情形每次扣2分（每条目录下对应资源数量除已全量归集外，一般应大于500条）。主题库、专题库建设每个加3分，最高加20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数据共享开放</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pacing w:val="-8"/>
                <w:sz w:val="20"/>
                <w:szCs w:val="20"/>
                <w14:textFill>
                  <w14:solidFill>
                    <w14:schemeClr w14:val="tx1"/>
                  </w14:solidFill>
                </w14:textFill>
              </w:rPr>
              <w:t>未规范开展分类分级，造成敏感数据泄露的，视危害程度进行扣分；对数据调用、数据共享次数，格次赋分；无正当理由，未按要求提供数据的，每次扣1分，最多扣10分；提出现有数据共享平台外，对其他单位的合理数据需求，每次加1分，最多加10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数据开发利用</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创新工作机制，运用大数据积极开展数据共享、开放，形成典型案例，被市级采用每条0.5分，被省级以上采用，每条1分，该项采用最大值比较法折算计分。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4</w:t>
            </w:r>
          </w:p>
        </w:tc>
        <w:tc>
          <w:tcPr>
            <w:tcW w:w="1203"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加分指标</w:t>
            </w:r>
          </w:p>
          <w:p>
            <w:pPr>
              <w:pStyle w:val="14"/>
              <w:spacing w:after="0" w:line="260" w:lineRule="exact"/>
              <w:ind w:left="182" w:leftChars="0" w:hanging="182" w:hangingChars="91"/>
              <w:jc w:val="center"/>
              <w:rPr>
                <w:rFonts w:ascii="Times New Roman" w:hAnsi="Times New Roman" w:eastAsia="方正仿宋_GBK"/>
                <w:color w:val="000000" w:themeColor="text1"/>
                <w:sz w:val="20"/>
                <w:szCs w:val="20"/>
                <w14:textFill>
                  <w14:solidFill>
                    <w14:schemeClr w14:val="tx1"/>
                  </w14:solidFill>
                </w14:textFill>
              </w:rPr>
            </w:pPr>
            <w:r>
              <w:rPr>
                <w:rFonts w:ascii="Times New Roman" w:hAnsi="Times New Roman" w:eastAsia="方正仿宋_GBK"/>
                <w:color w:val="000000" w:themeColor="text1"/>
                <w:sz w:val="20"/>
                <w:szCs w:val="20"/>
                <w14:textFill>
                  <w14:solidFill>
                    <w14:schemeClr w14:val="tx1"/>
                  </w14:solidFill>
                </w14:textFill>
              </w:rPr>
              <w:t>（30分）</w:t>
            </w: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创新应用场景建设</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跨部门跨层级跨区域应用、列入省级大数据试点项目等取得较好成效的创新应用，加10分。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重点工作完成情况</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积极响应并配合完成本年度国家、省、市大数据条线重点推进的事项，视配合完成情况，酌情加分，最高加10分。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35"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203"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3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特色亮点</w:t>
            </w:r>
          </w:p>
        </w:tc>
        <w:tc>
          <w:tcPr>
            <w:tcW w:w="55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通过体制机制创新，探索大数据建设发展方面新思路、新做法，对城市管理、民生服务等方面有积极促进作用，得到社会、领导认可的，</w:t>
            </w:r>
            <w:r>
              <w:rPr>
                <w:rFonts w:hint="eastAsia" w:ascii="Times New Roman" w:hAnsi="Times New Roman" w:eastAsia="方正仿宋_GBK" w:cs="Times New Roman"/>
                <w:color w:val="000000" w:themeColor="text1"/>
                <w:sz w:val="20"/>
                <w:szCs w:val="20"/>
                <w14:textFill>
                  <w14:solidFill>
                    <w14:schemeClr w14:val="tx1"/>
                  </w14:solidFill>
                </w14:textFill>
              </w:rPr>
              <w:t>予以加分，</w:t>
            </w:r>
            <w:r>
              <w:rPr>
                <w:rFonts w:ascii="Times New Roman" w:hAnsi="Times New Roman" w:eastAsia="方正仿宋_GBK" w:cs="Times New Roman"/>
                <w:color w:val="000000" w:themeColor="text1"/>
                <w:sz w:val="20"/>
                <w:szCs w:val="20"/>
                <w14:textFill>
                  <w14:solidFill>
                    <w14:schemeClr w14:val="tx1"/>
                  </w14:solidFill>
                </w14:textFill>
              </w:rPr>
              <w:t>最高加10分。</w:t>
            </w:r>
          </w:p>
        </w:tc>
        <w:tc>
          <w:tcPr>
            <w:tcW w:w="645"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bookmarkEnd w:id="0"/>
    </w:tbl>
    <w:p>
      <w:pPr>
        <w:widowControl/>
        <w:snapToGrid w:val="0"/>
        <w:spacing w:before="157" w:beforeLines="50" w:line="480" w:lineRule="exact"/>
        <w:ind w:firstLine="560" w:firstLineChars="200"/>
        <w:rPr>
          <w:rFonts w:ascii="Times New Roman" w:hAnsi="Times New Roman" w:eastAsia="方正仿宋_GBK" w:cs="Times New Roman"/>
          <w:color w:val="000000" w:themeColor="text1"/>
          <w:sz w:val="28"/>
          <w:szCs w:val="28"/>
          <w:shd w:val="clear" w:color="auto" w:fill="FFFFFF"/>
          <w14:textFill>
            <w14:solidFill>
              <w14:schemeClr w14:val="tx1"/>
            </w14:solidFill>
          </w14:textFill>
        </w:rPr>
      </w:pPr>
      <w:r>
        <w:rPr>
          <w:rFonts w:ascii="Times New Roman" w:hAnsi="Times New Roman" w:eastAsia="方正仿宋_GBK" w:cs="Times New Roman"/>
          <w:color w:val="000000" w:themeColor="text1"/>
          <w:sz w:val="28"/>
          <w:szCs w:val="28"/>
          <w:shd w:val="clear" w:color="auto" w:fill="FFFFFF"/>
          <w14:textFill>
            <w14:solidFill>
              <w14:schemeClr w14:val="tx1"/>
            </w14:solidFill>
          </w14:textFill>
        </w:rPr>
        <w:t>注：县区（功能区）大数据建设应用评价指标分为数据共享应用指标（分值为100分）和加分指标（分值为30分）。如本年度发生数据严重泄露等数据安全事件，考核事项“一票否决”，不再对其他指标进行评分。最后评测得分为两部分得分之和，即大数据应用评价得分=数据共享应用指标得分×70%+加分指标得分。</w:t>
      </w:r>
    </w:p>
    <w:p>
      <w:pPr>
        <w:widowControl/>
        <w:snapToGrid w:val="0"/>
        <w:spacing w:after="157" w:afterLines="50" w:line="580" w:lineRule="exact"/>
        <w:jc w:val="center"/>
        <w:rPr>
          <w:rFonts w:ascii="Times New Roman" w:hAnsi="Times New Roman" w:eastAsia="方正小标宋_GBK" w:cs="Times New Roman"/>
          <w:color w:val="000000" w:themeColor="text1"/>
          <w:sz w:val="44"/>
          <w:szCs w:val="44"/>
          <w14:textFill>
            <w14:solidFill>
              <w14:schemeClr w14:val="tx1"/>
            </w14:solidFill>
          </w14:textFill>
        </w:rPr>
      </w:pPr>
      <w:r>
        <w:rPr>
          <w:rFonts w:ascii="Times New Roman" w:hAnsi="Times New Roman" w:eastAsia="方正小标宋_GBK" w:cs="Times New Roman"/>
          <w:color w:val="000000" w:themeColor="text1"/>
          <w:sz w:val="44"/>
          <w:szCs w:val="44"/>
          <w14:textFill>
            <w14:solidFill>
              <w14:schemeClr w14:val="tx1"/>
            </w14:solidFill>
          </w14:textFill>
        </w:rPr>
        <w:t>市级部门大数据建设应用评价指标</w:t>
      </w:r>
    </w:p>
    <w:tbl>
      <w:tblPr>
        <w:tblStyle w:val="8"/>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118"/>
        <w:gridCol w:w="1124"/>
        <w:gridCol w:w="5609"/>
        <w:gridCol w:w="6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blHeader/>
          <w:jc w:val="center"/>
        </w:trPr>
        <w:tc>
          <w:tcPr>
            <w:tcW w:w="709" w:type="dxa"/>
            <w:vAlign w:val="center"/>
          </w:tcPr>
          <w:p>
            <w:pPr>
              <w:widowControl/>
              <w:snapToGrid w:val="0"/>
              <w:spacing w:line="320" w:lineRule="exact"/>
              <w:jc w:val="center"/>
              <w:rPr>
                <w:rFonts w:ascii="Times New Roman" w:hAnsi="Times New Roman" w:eastAsia="方正黑体_GBK" w:cs="Times New Roman"/>
                <w:color w:val="000000" w:themeColor="text1"/>
                <w:sz w:val="20"/>
                <w:szCs w:val="20"/>
                <w14:textFill>
                  <w14:solidFill>
                    <w14:schemeClr w14:val="tx1"/>
                  </w14:solidFill>
                </w14:textFill>
              </w:rPr>
            </w:pPr>
            <w:bookmarkStart w:id="1" w:name="OLE_LINK2"/>
            <w:r>
              <w:rPr>
                <w:rFonts w:ascii="Times New Roman" w:hAnsi="Times New Roman" w:eastAsia="方正黑体_GBK" w:cs="Times New Roman"/>
                <w:color w:val="000000" w:themeColor="text1"/>
                <w:sz w:val="20"/>
                <w:szCs w:val="20"/>
                <w14:textFill>
                  <w14:solidFill>
                    <w14:schemeClr w14:val="tx1"/>
                  </w14:solidFill>
                </w14:textFill>
              </w:rPr>
              <w:t>序号</w:t>
            </w:r>
          </w:p>
        </w:tc>
        <w:tc>
          <w:tcPr>
            <w:tcW w:w="1118" w:type="dxa"/>
            <w:vAlign w:val="center"/>
          </w:tcPr>
          <w:p>
            <w:pPr>
              <w:widowControl/>
              <w:snapToGrid w:val="0"/>
              <w:spacing w:line="32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一级指标</w:t>
            </w:r>
          </w:p>
        </w:tc>
        <w:tc>
          <w:tcPr>
            <w:tcW w:w="1124" w:type="dxa"/>
            <w:vAlign w:val="center"/>
          </w:tcPr>
          <w:p>
            <w:pPr>
              <w:widowControl/>
              <w:snapToGrid w:val="0"/>
              <w:spacing w:line="32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二级指标</w:t>
            </w:r>
          </w:p>
        </w:tc>
        <w:tc>
          <w:tcPr>
            <w:tcW w:w="5609" w:type="dxa"/>
            <w:vAlign w:val="center"/>
          </w:tcPr>
          <w:p>
            <w:pPr>
              <w:widowControl/>
              <w:snapToGrid w:val="0"/>
              <w:spacing w:line="320" w:lineRule="exact"/>
              <w:ind w:firstLine="400"/>
              <w:jc w:val="center"/>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评分方法</w:t>
            </w:r>
          </w:p>
        </w:tc>
        <w:tc>
          <w:tcPr>
            <w:tcW w:w="658" w:type="dxa"/>
            <w:vAlign w:val="center"/>
          </w:tcPr>
          <w:p>
            <w:pPr>
              <w:widowControl/>
              <w:snapToGrid w:val="0"/>
              <w:spacing w:line="320" w:lineRule="exact"/>
              <w:rPr>
                <w:rFonts w:ascii="Times New Roman" w:hAnsi="Times New Roman" w:eastAsia="方正黑体_GBK" w:cs="Times New Roman"/>
                <w:color w:val="000000" w:themeColor="text1"/>
                <w:sz w:val="20"/>
                <w:szCs w:val="20"/>
                <w14:textFill>
                  <w14:solidFill>
                    <w14:schemeClr w14:val="tx1"/>
                  </w14:solidFill>
                </w14:textFill>
              </w:rPr>
            </w:pPr>
            <w:r>
              <w:rPr>
                <w:rFonts w:ascii="Times New Roman" w:hAnsi="Times New Roman" w:eastAsia="方正黑体_GBK" w:cs="Times New Roman"/>
                <w:color w:val="000000" w:themeColor="text1"/>
                <w:sz w:val="20"/>
                <w:szCs w:val="20"/>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w:t>
            </w:r>
          </w:p>
        </w:tc>
        <w:tc>
          <w:tcPr>
            <w:tcW w:w="1118"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工作机制</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（10分）</w:t>
            </w: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人员配置</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明确本单位政务数据共享的分管负责人（首席数据官CDO）和内设机构，得5分；仅有分管负责人或内设机构的得2分；未明确不得分。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制度建设</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根据制度完善和执行情况，</w:t>
            </w:r>
            <w:r>
              <w:rPr>
                <w:rFonts w:hint="eastAsia" w:ascii="Times New Roman" w:hAnsi="Times New Roman" w:eastAsia="方正仿宋_GBK" w:cs="Times New Roman"/>
                <w:color w:val="000000" w:themeColor="text1"/>
                <w:sz w:val="20"/>
                <w:szCs w:val="20"/>
                <w14:textFill>
                  <w14:solidFill>
                    <w14:schemeClr w14:val="tx1"/>
                  </w14:solidFill>
                </w14:textFill>
              </w:rPr>
              <w:t>视完成情况打</w:t>
            </w:r>
            <w:r>
              <w:rPr>
                <w:rFonts w:ascii="Times New Roman" w:hAnsi="Times New Roman" w:eastAsia="方正仿宋_GBK" w:cs="Times New Roman"/>
                <w:color w:val="000000" w:themeColor="text1"/>
                <w:sz w:val="20"/>
                <w:szCs w:val="20"/>
                <w14:textFill>
                  <w14:solidFill>
                    <w14:schemeClr w14:val="tx1"/>
                  </w14:solidFill>
                </w14:textFill>
              </w:rPr>
              <w:t>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709"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2</w:t>
            </w:r>
          </w:p>
        </w:tc>
        <w:tc>
          <w:tcPr>
            <w:tcW w:w="1118"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政务信息化项目（20分）</w:t>
            </w: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项目管理</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未按规定时间申报、应报未报、数据共享不充分等不规范情形，每次扣1分。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集约化</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建设</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未按规范上云、分配政务云资源未正常使用、使用的云资源闲置率过高、重复建设共性支撑系统等，每次扣1分。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信息安全</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未按要求开展等保备案或等保测评不合格的扣1分。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w:t>
            </w:r>
          </w:p>
        </w:tc>
        <w:tc>
          <w:tcPr>
            <w:tcW w:w="1118"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数据管理</w:t>
            </w:r>
          </w:p>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（70分）</w:t>
            </w: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数据汇聚治理</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对目录清单编制、目录编制数量、有对应资源的目录比例等进行综合评定；随机抽查数据质量，对未及时更新、数据完整性较差等情形每次扣2分（每条目录下对应资源数量除已全量归集外，一般应大于500条）。主题库、专题库建设每个加4分，最高加20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数据共享开放</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未规范开展分类分级，造成敏感数据泄露的，视危害程度进行扣分；</w:t>
            </w:r>
            <w:r>
              <w:rPr>
                <w:rFonts w:ascii="Times New Roman" w:hAnsi="Times New Roman" w:eastAsia="方正仿宋_GBK" w:cs="Times New Roman"/>
                <w:color w:val="000000" w:themeColor="text1"/>
                <w:spacing w:val="-8"/>
                <w:sz w:val="20"/>
                <w:szCs w:val="20"/>
                <w14:textFill>
                  <w14:solidFill>
                    <w14:schemeClr w14:val="tx1"/>
                  </w14:solidFill>
                </w14:textFill>
              </w:rPr>
              <w:t>对数据调用、数据共享次数，格次赋分</w:t>
            </w:r>
            <w:r>
              <w:rPr>
                <w:rFonts w:ascii="Times New Roman" w:hAnsi="Times New Roman" w:eastAsia="方正仿宋_GBK" w:cs="Times New Roman"/>
                <w:color w:val="000000" w:themeColor="text1"/>
                <w:sz w:val="20"/>
                <w:szCs w:val="20"/>
                <w14:textFill>
                  <w14:solidFill>
                    <w14:schemeClr w14:val="tx1"/>
                  </w14:solidFill>
                </w14:textFill>
              </w:rPr>
              <w:t>；无正当理由，未按要求提供数据的，每次扣1分，最多扣10分；提出现有数据共享平台外，对其他单位的合理数据需求，每次加1分，最多加10分。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数据开发利用</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创新工作机制，运用大数据积极开展数据共享、开放，形成典型案例，被市级采用每条0.5分，被省级以上采用，每条1分，该项采用最大值比较法折算计分，最高得10分。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restart"/>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4</w:t>
            </w:r>
          </w:p>
        </w:tc>
        <w:tc>
          <w:tcPr>
            <w:tcW w:w="1118" w:type="dxa"/>
            <w:vMerge w:val="restart"/>
            <w:vAlign w:val="center"/>
          </w:tcPr>
          <w:p>
            <w:pPr>
              <w:widowControl/>
              <w:snapToGrid w:val="0"/>
              <w:spacing w:line="260" w:lineRule="exact"/>
              <w:rPr>
                <w:rFonts w:ascii="Times New Roman" w:hAnsi="Times New Roman" w:eastAsia="方正仿宋_GBK" w:cs="Times New Roman"/>
                <w:color w:val="000000" w:themeColor="text1"/>
                <w14:textFill>
                  <w14:solidFill>
                    <w14:schemeClr w14:val="tx1"/>
                  </w14:solidFill>
                </w14:textFill>
              </w:rPr>
            </w:pPr>
            <w:r>
              <w:rPr>
                <w:rFonts w:ascii="Times New Roman" w:hAnsi="Times New Roman" w:eastAsia="方正仿宋_GBK" w:cs="Times New Roman"/>
                <w:color w:val="000000" w:themeColor="text1"/>
                <w14:textFill>
                  <w14:solidFill>
                    <w14:schemeClr w14:val="tx1"/>
                  </w14:solidFill>
                </w14:textFill>
              </w:rPr>
              <w:t>加分指标</w:t>
            </w:r>
          </w:p>
          <w:p>
            <w:pPr>
              <w:pStyle w:val="14"/>
              <w:widowControl/>
              <w:spacing w:line="260" w:lineRule="exact"/>
              <w:ind w:left="418" w:leftChars="0" w:hanging="418" w:hangingChars="209"/>
              <w:textAlignment w:val="auto"/>
              <w:rPr>
                <w:rFonts w:ascii="Times New Roman" w:hAnsi="Times New Roman" w:eastAsia="方正仿宋_GBK"/>
                <w:color w:val="000000" w:themeColor="text1"/>
                <w14:textFill>
                  <w14:solidFill>
                    <w14:schemeClr w14:val="tx1"/>
                  </w14:solidFill>
                </w14:textFill>
              </w:rPr>
            </w:pPr>
            <w:r>
              <w:rPr>
                <w:rFonts w:ascii="Times New Roman" w:hAnsi="Times New Roman" w:eastAsia="方正仿宋_GBK"/>
                <w:color w:val="000000" w:themeColor="text1"/>
                <w:sz w:val="20"/>
                <w:szCs w:val="20"/>
                <w14:textFill>
                  <w14:solidFill>
                    <w14:schemeClr w14:val="tx1"/>
                  </w14:solidFill>
                </w14:textFill>
              </w:rPr>
              <w:t>（20分）</w:t>
            </w: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创新应用场景建设</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对牵头建设跨部门协同联动应用场景、列入省级大数据试点项目等取得较好成效的创新应用，加</w:t>
            </w:r>
            <w:r>
              <w:rPr>
                <w:rFonts w:hint="eastAsia" w:ascii="Times New Roman" w:hAnsi="Times New Roman" w:eastAsia="方正仿宋_GBK" w:cs="Times New Roman"/>
                <w:color w:val="000000" w:themeColor="text1"/>
                <w:sz w:val="20"/>
                <w:szCs w:val="20"/>
                <w14:textFill>
                  <w14:solidFill>
                    <w14:schemeClr w14:val="tx1"/>
                  </w14:solidFill>
                </w14:textFill>
              </w:rPr>
              <w:t>10</w:t>
            </w:r>
            <w:r>
              <w:rPr>
                <w:rFonts w:ascii="Times New Roman" w:hAnsi="Times New Roman" w:eastAsia="方正仿宋_GBK" w:cs="Times New Roman"/>
                <w:color w:val="000000" w:themeColor="text1"/>
                <w:sz w:val="20"/>
                <w:szCs w:val="20"/>
                <w14:textFill>
                  <w14:solidFill>
                    <w14:schemeClr w14:val="tx1"/>
                  </w14:solidFill>
                </w14:textFill>
              </w:rPr>
              <w:t>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709"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18" w:type="dxa"/>
            <w:vMerge w:val="continue"/>
            <w:vAlign w:val="center"/>
          </w:tcPr>
          <w:p>
            <w:pPr>
              <w:widowControl/>
              <w:snapToGrid w:val="0"/>
              <w:spacing w:line="260" w:lineRule="exact"/>
              <w:ind w:firstLine="400"/>
              <w:jc w:val="center"/>
              <w:rPr>
                <w:rFonts w:ascii="Times New Roman" w:hAnsi="Times New Roman" w:eastAsia="方正仿宋_GBK" w:cs="Times New Roman"/>
                <w:color w:val="000000" w:themeColor="text1"/>
                <w:sz w:val="20"/>
                <w:szCs w:val="20"/>
                <w14:textFill>
                  <w14:solidFill>
                    <w14:schemeClr w14:val="tx1"/>
                  </w14:solidFill>
                </w14:textFill>
              </w:rPr>
            </w:pPr>
          </w:p>
        </w:tc>
        <w:tc>
          <w:tcPr>
            <w:tcW w:w="1124"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重点工作完成情况</w:t>
            </w:r>
          </w:p>
        </w:tc>
        <w:tc>
          <w:tcPr>
            <w:tcW w:w="5609" w:type="dxa"/>
            <w:vAlign w:val="center"/>
          </w:tcPr>
          <w:p>
            <w:pPr>
              <w:widowControl/>
              <w:snapToGrid w:val="0"/>
              <w:spacing w:line="260" w:lineRule="exact"/>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积极响应并配合完成本年度国家、省、市大数据条线重点推进的事项，如数据分类分级、公共数据开放、上级部门数据回流等，视配合完成情况，</w:t>
            </w:r>
            <w:r>
              <w:rPr>
                <w:rFonts w:hint="eastAsia" w:ascii="Times New Roman" w:hAnsi="Times New Roman" w:eastAsia="方正仿宋_GBK" w:cs="Times New Roman"/>
                <w:color w:val="000000" w:themeColor="text1"/>
                <w:sz w:val="20"/>
                <w:szCs w:val="20"/>
                <w14:textFill>
                  <w14:solidFill>
                    <w14:schemeClr w14:val="tx1"/>
                  </w14:solidFill>
                </w14:textFill>
              </w:rPr>
              <w:t>予以</w:t>
            </w:r>
            <w:r>
              <w:rPr>
                <w:rFonts w:ascii="Times New Roman" w:hAnsi="Times New Roman" w:eastAsia="方正仿宋_GBK" w:cs="Times New Roman"/>
                <w:color w:val="000000" w:themeColor="text1"/>
                <w:sz w:val="20"/>
                <w:szCs w:val="20"/>
                <w14:textFill>
                  <w14:solidFill>
                    <w14:schemeClr w14:val="tx1"/>
                  </w14:solidFill>
                </w14:textFill>
              </w:rPr>
              <w:t>加分，最高加10分。</w:t>
            </w:r>
          </w:p>
        </w:tc>
        <w:tc>
          <w:tcPr>
            <w:tcW w:w="658" w:type="dxa"/>
            <w:vAlign w:val="center"/>
          </w:tcPr>
          <w:p>
            <w:pPr>
              <w:widowControl/>
              <w:snapToGrid w:val="0"/>
              <w:spacing w:line="260" w:lineRule="exact"/>
              <w:jc w:val="center"/>
              <w:rPr>
                <w:rFonts w:ascii="Times New Roman" w:hAnsi="Times New Roman" w:eastAsia="方正仿宋_GBK" w:cs="Times New Roman"/>
                <w:color w:val="000000" w:themeColor="text1"/>
                <w:sz w:val="20"/>
                <w:szCs w:val="20"/>
                <w14:textFill>
                  <w14:solidFill>
                    <w14:schemeClr w14:val="tx1"/>
                  </w14:solidFill>
                </w14:textFill>
              </w:rPr>
            </w:pPr>
            <w:r>
              <w:rPr>
                <w:rFonts w:ascii="Times New Roman" w:hAnsi="Times New Roman" w:eastAsia="方正仿宋_GBK" w:cs="Times New Roman"/>
                <w:color w:val="000000" w:themeColor="text1"/>
                <w:sz w:val="20"/>
                <w:szCs w:val="20"/>
                <w14:textFill>
                  <w14:solidFill>
                    <w14:schemeClr w14:val="tx1"/>
                  </w14:solidFill>
                </w14:textFill>
              </w:rPr>
              <w:t>10</w:t>
            </w:r>
          </w:p>
        </w:tc>
      </w:tr>
      <w:bookmarkEnd w:id="1"/>
    </w:tbl>
    <w:p>
      <w:pPr>
        <w:widowControl/>
        <w:snapToGrid w:val="0"/>
        <w:spacing w:before="157" w:beforeLines="50" w:line="480" w:lineRule="exact"/>
        <w:ind w:firstLine="560" w:firstLineChars="200"/>
        <w:rPr>
          <w:rFonts w:ascii="Times New Roman" w:hAnsi="Times New Roman" w:eastAsia="方正仿宋_GBK" w:cs="Times New Roman"/>
          <w:color w:val="000000" w:themeColor="text1"/>
          <w:sz w:val="28"/>
          <w:szCs w:val="28"/>
          <w:shd w:val="clear" w:color="auto" w:fill="FFFFFF"/>
          <w14:textFill>
            <w14:solidFill>
              <w14:schemeClr w14:val="tx1"/>
            </w14:solidFill>
          </w14:textFill>
        </w:rPr>
      </w:pPr>
      <w:r>
        <w:rPr>
          <w:rFonts w:ascii="Times New Roman" w:hAnsi="Times New Roman" w:eastAsia="方正仿宋_GBK" w:cs="Times New Roman"/>
          <w:color w:val="000000" w:themeColor="text1"/>
          <w:sz w:val="28"/>
          <w:szCs w:val="28"/>
          <w:shd w:val="clear" w:color="auto" w:fill="FFFFFF"/>
          <w14:textFill>
            <w14:solidFill>
              <w14:schemeClr w14:val="tx1"/>
            </w14:solidFill>
          </w14:textFill>
        </w:rPr>
        <w:t>注：</w:t>
      </w:r>
      <w:r>
        <w:rPr>
          <w:rFonts w:ascii="Times New Roman" w:hAnsi="Times New Roman" w:eastAsia="方正仿宋_GBK" w:cs="Times New Roman"/>
          <w:color w:val="000000" w:themeColor="text1"/>
          <w:spacing w:val="6"/>
          <w:sz w:val="28"/>
          <w:szCs w:val="28"/>
          <w:shd w:val="clear" w:color="auto" w:fill="FFFFFF"/>
          <w14:textFill>
            <w14:solidFill>
              <w14:schemeClr w14:val="tx1"/>
            </w14:solidFill>
          </w14:textFill>
        </w:rPr>
        <w:t>市级部门大数据建设应用评价指标分为数据共享应用指标（分值为100分）和加分指标（分值为20分）。如本年度发生数据严重泄露等数据安全事件，考核事项“一票否决”，不再对其他指标进行评分。最后评测得分为两部分得分之和，即大数据应用评价得分=数据共享应用指标得分×80%+加分指标得分</w:t>
      </w:r>
      <w:r>
        <w:rPr>
          <w:rFonts w:ascii="Times New Roman" w:hAnsi="Times New Roman" w:eastAsia="方正仿宋_GBK" w:cs="Times New Roman"/>
          <w:color w:val="000000" w:themeColor="text1"/>
          <w:sz w:val="28"/>
          <w:szCs w:val="28"/>
          <w:shd w:val="clear" w:color="auto" w:fill="FFFFFF"/>
          <w14:textFill>
            <w14:solidFill>
              <w14:schemeClr w14:val="tx1"/>
            </w14:solidFill>
          </w14:textFill>
        </w:rPr>
        <w:t>。</w:t>
      </w:r>
    </w:p>
    <w:p>
      <w:pPr>
        <w:pStyle w:val="14"/>
        <w:ind w:firstLine="560"/>
        <w:rPr>
          <w:rFonts w:ascii="Times New Roman" w:hAnsi="Times New Roman" w:eastAsia="方正仿宋_GBK"/>
          <w:color w:val="000000" w:themeColor="text1"/>
          <w:sz w:val="28"/>
          <w:szCs w:val="28"/>
          <w:shd w:val="clear" w:color="auto" w:fill="FFFFFF"/>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320"/>
        <w:rPr>
          <w:rFonts w:ascii="Times New Roman" w:hAnsi="Times New Roman" w:eastAsia="方正仿宋_GBK"/>
          <w:color w:val="000000" w:themeColor="text1"/>
          <w:sz w:val="32"/>
          <w:szCs w:val="32"/>
          <w14:textFill>
            <w14:solidFill>
              <w14:schemeClr w14:val="tx1"/>
            </w14:solidFill>
          </w14:textFill>
        </w:rPr>
      </w:pPr>
    </w:p>
    <w:p>
      <w:pPr>
        <w:pStyle w:val="17"/>
        <w:ind w:firstLine="0" w:firstLineChars="0"/>
        <w:rPr>
          <w:rFonts w:ascii="Times New Roman" w:hAnsi="Times New Roman" w:eastAsia="方正仿宋_GBK"/>
          <w:color w:val="000000" w:themeColor="text1"/>
          <w:sz w:val="32"/>
          <w:szCs w:val="32"/>
          <w14:textFill>
            <w14:solidFill>
              <w14:schemeClr w14:val="tx1"/>
            </w14:solidFill>
          </w14:textFill>
        </w:rPr>
      </w:pPr>
    </w:p>
    <w:p>
      <w:pPr>
        <w:pStyle w:val="4"/>
        <w:spacing w:line="540" w:lineRule="exact"/>
        <w:rPr>
          <w:rFonts w:eastAsia="方正仿宋_GBK"/>
          <w:color w:val="000000" w:themeColor="text1"/>
          <w:sz w:val="32"/>
          <w:szCs w:val="32"/>
          <w14:textFill>
            <w14:solidFill>
              <w14:schemeClr w14:val="tx1"/>
            </w14:solidFill>
          </w14:textFill>
        </w:rPr>
      </w:pPr>
    </w:p>
    <w:p>
      <w:pPr>
        <w:spacing w:line="580" w:lineRule="exact"/>
        <w:ind w:firstLine="210" w:firstLineChars="100"/>
        <w:rPr>
          <w:rFonts w:eastAsia="方正仿宋_GBK"/>
          <w:color w:val="000000" w:themeColor="text1"/>
          <w:spacing w:val="-2"/>
          <w:sz w:val="28"/>
          <w:szCs w:val="28"/>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0" distR="0" simplePos="0" relativeHeight="251659264" behindDoc="0" locked="1" layoutInCell="1" allowOverlap="1">
                <wp:simplePos x="0" y="0"/>
                <wp:positionH relativeFrom="column">
                  <wp:posOffset>0</wp:posOffset>
                </wp:positionH>
                <wp:positionV relativeFrom="paragraph">
                  <wp:posOffset>31115</wp:posOffset>
                </wp:positionV>
                <wp:extent cx="5609590" cy="2540"/>
                <wp:effectExtent l="0" t="7620" r="13970" b="12700"/>
                <wp:wrapNone/>
                <wp:docPr id="1026" name="直接连接符 6"/>
                <wp:cNvGraphicFramePr/>
                <a:graphic xmlns:a="http://schemas.openxmlformats.org/drawingml/2006/main">
                  <a:graphicData uri="http://schemas.microsoft.com/office/word/2010/wordprocessingShape">
                    <wps:wsp>
                      <wps:cNvCnPr/>
                      <wps:spPr>
                        <a:xfrm>
                          <a:off x="0" y="0"/>
                          <a:ext cx="5609590" cy="2540"/>
                        </a:xfrm>
                        <a:prstGeom prst="line">
                          <a:avLst/>
                        </a:prstGeom>
                        <a:ln w="15875" cap="flat" cmpd="sng">
                          <a:solidFill>
                            <a:srgbClr val="000000"/>
                          </a:solidFill>
                          <a:prstDash val="solid"/>
                          <a:round/>
                          <a:headEnd type="none" w="med" len="med"/>
                          <a:tailEnd type="none" w="med" len="med"/>
                        </a:ln>
                      </wps:spPr>
                      <wps:bodyPr/>
                    </wps:wsp>
                  </a:graphicData>
                </a:graphic>
              </wp:anchor>
            </w:drawing>
          </mc:Choice>
          <mc:Fallback>
            <w:pict>
              <v:line id="直接连接符 6" o:spid="_x0000_s1026" o:spt="20" style="position:absolute;left:0pt;margin-left:0pt;margin-top:2.45pt;height:0.2pt;width:441.7pt;z-index:251659264;mso-width-relative:page;mso-height-relative:page;" filled="f" stroked="t" coordsize="21600,21600" o:gfxdata="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gYYt+NUAAAAEAQAADwAAAAAAAAABACAAAAAiAAAAZHJzL2Rvd25yZXYueG1sUEsB&#10;AhQAFAAAAAgAh07iQFpPltb4AQAA6QMAAA4AAAAAAAAAAQAgAAAAJAEAAGRycy9lMm9Eb2MueG1s&#10;UEsFBgAAAAAGAAYAWQEAAI4FAAAAAA==&#10;">
                <v:fill on="f" focussize="0,0"/>
                <v:stroke weight="1.25pt" color="#000000" joinstyle="round"/>
                <v:imagedata o:title=""/>
                <o:lock v:ext="edit" aspectratio="f"/>
                <w10:anchorlock/>
              </v:line>
            </w:pict>
          </mc:Fallback>
        </mc:AlternateContent>
      </w:r>
      <w:r>
        <w:rPr>
          <w:rFonts w:hint="eastAsia" w:eastAsia="方正仿宋_GBK"/>
          <w:color w:val="000000" w:themeColor="text1"/>
          <w:sz w:val="28"/>
          <w:szCs w:val="28"/>
          <w14:textFill>
            <w14:solidFill>
              <w14:schemeClr w14:val="tx1"/>
            </w14:solidFill>
          </w14:textFill>
        </w:rPr>
        <w:t>抄送：</w:t>
      </w:r>
      <w:r>
        <w:rPr>
          <w:rFonts w:hint="eastAsia" w:eastAsia="方正仿宋_GBK"/>
          <w:color w:val="000000" w:themeColor="text1"/>
          <w:spacing w:val="-2"/>
          <w:sz w:val="28"/>
          <w:szCs w:val="28"/>
          <w14:textFill>
            <w14:solidFill>
              <w14:schemeClr w14:val="tx1"/>
            </w14:solidFill>
          </w14:textFill>
        </w:rPr>
        <w:t>市</w:t>
      </w:r>
      <w:r>
        <w:rPr>
          <w:rFonts w:hint="eastAsia" w:eastAsia="方正仿宋_GBK"/>
          <w:color w:val="000000" w:themeColor="text1"/>
          <w:spacing w:val="-4"/>
          <w:sz w:val="28"/>
          <w:szCs w:val="28"/>
          <w14:textFill>
            <w14:solidFill>
              <w14:schemeClr w14:val="tx1"/>
            </w14:solidFill>
          </w14:textFill>
        </w:rPr>
        <w:t>委各部委办，市人大常委会办公室，市政协办公室，市监委，</w:t>
      </w:r>
    </w:p>
    <w:p>
      <w:pPr>
        <w:spacing w:line="580" w:lineRule="exact"/>
        <w:ind w:firstLine="1076" w:firstLineChars="390"/>
        <w:rPr>
          <w:rFonts w:eastAsia="方正仿宋_GBK"/>
          <w:color w:val="000000" w:themeColor="text1"/>
          <w:sz w:val="28"/>
          <w:szCs w:val="28"/>
          <w14:textFill>
            <w14:solidFill>
              <w14:schemeClr w14:val="tx1"/>
            </w14:solidFill>
          </w14:textFill>
        </w:rPr>
      </w:pPr>
      <w:r>
        <w:rPr>
          <w:rFonts w:hint="eastAsia" w:eastAsia="方正仿宋_GBK"/>
          <w:color w:val="000000" w:themeColor="text1"/>
          <w:spacing w:val="-2"/>
          <w:sz w:val="28"/>
          <w:szCs w:val="28"/>
          <w14:textFill>
            <w14:solidFill>
              <w14:schemeClr w14:val="tx1"/>
            </w14:solidFill>
          </w14:textFill>
        </w:rPr>
        <w:t>市法院，</w:t>
      </w:r>
      <w:r>
        <w:rPr>
          <w:rFonts w:hint="eastAsia" w:eastAsia="方正仿宋_GBK"/>
          <w:color w:val="000000" w:themeColor="text1"/>
          <w:sz w:val="28"/>
          <w:szCs w:val="28"/>
          <w14:textFill>
            <w14:solidFill>
              <w14:schemeClr w14:val="tx1"/>
            </w14:solidFill>
          </w14:textFill>
        </w:rPr>
        <w:t>市检察院，宿迁军分区。</w:t>
      </w:r>
    </w:p>
    <w:p>
      <w:pPr>
        <w:spacing w:line="580" w:lineRule="exact"/>
        <w:ind w:firstLine="210" w:firstLineChars="100"/>
        <w:rPr>
          <w:color w:val="000000" w:themeColor="text1"/>
          <w14:textFill>
            <w14:solidFill>
              <w14:schemeClr w14:val="tx1"/>
            </w14:solidFill>
          </w14:textFill>
        </w:rPr>
      </w:pPr>
      <w:r>
        <w:rPr>
          <w:rFonts w:ascii="Times New Roman" w:hAnsi="Times New Roman"/>
          <w:color w:val="000000" w:themeColor="text1"/>
          <w14:textFill>
            <w14:solidFill>
              <w14:schemeClr w14:val="tx1"/>
            </w14:solidFill>
          </w14:textFill>
        </w:rPr>
        <mc:AlternateContent>
          <mc:Choice Requires="wps">
            <w:drawing>
              <wp:anchor distT="0" distB="0" distL="0" distR="0" simplePos="0" relativeHeight="251660288" behindDoc="0" locked="1" layoutInCell="1" allowOverlap="1">
                <wp:simplePos x="0" y="0"/>
                <wp:positionH relativeFrom="column">
                  <wp:posOffset>0</wp:posOffset>
                </wp:positionH>
                <wp:positionV relativeFrom="paragraph">
                  <wp:posOffset>432435</wp:posOffset>
                </wp:positionV>
                <wp:extent cx="5611495" cy="2540"/>
                <wp:effectExtent l="0" t="7620" r="12065" b="12700"/>
                <wp:wrapNone/>
                <wp:docPr id="1027" name="直接连接符 7"/>
                <wp:cNvGraphicFramePr/>
                <a:graphic xmlns:a="http://schemas.openxmlformats.org/drawingml/2006/main">
                  <a:graphicData uri="http://schemas.microsoft.com/office/word/2010/wordprocessingShape">
                    <wps:wsp>
                      <wps:cNvCnPr/>
                      <wps:spPr>
                        <a:xfrm>
                          <a:off x="0" y="0"/>
                          <a:ext cx="5611495" cy="2540"/>
                        </a:xfrm>
                        <a:prstGeom prst="line">
                          <a:avLst/>
                        </a:prstGeom>
                        <a:ln w="15875" cap="flat" cmpd="sng">
                          <a:solidFill>
                            <a:srgbClr val="000000"/>
                          </a:solidFill>
                          <a:prstDash val="solid"/>
                          <a:round/>
                          <a:headEnd type="none" w="med" len="med"/>
                          <a:tailEnd type="none" w="med" len="med"/>
                        </a:ln>
                      </wps:spPr>
                      <wps:bodyPr/>
                    </wps:wsp>
                  </a:graphicData>
                </a:graphic>
              </wp:anchor>
            </w:drawing>
          </mc:Choice>
          <mc:Fallback>
            <w:pict>
              <v:line id="直接连接符 7" o:spid="_x0000_s1026" o:spt="20" style="position:absolute;left:0pt;margin-left:0pt;margin-top:34.05pt;height:0.2pt;width:441.85pt;z-index:251660288;mso-width-relative:page;mso-height-relative:page;" filled="f" stroked="t" coordsize="21600,21600" o:gfxdata="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IX7fbWAAAABgEAAA8AAAAAAAAAAQAgAAAAIgAAAGRycy9kb3ducmV2LnhtbFBL&#10;AQIUABQAAAAIAIdO4kBUlrqS+AEAAOkDAAAOAAAAAAAAAAEAIAAAACUBAABkcnMvZTJvRG9jLnht&#10;bFBLBQYAAAAABgAGAFkBAACPBQAAAAA=&#10;">
                <v:fill on="f" focussize="0,0"/>
                <v:stroke weight="1.25pt" color="#000000" joinstyle="round"/>
                <v:imagedata o:title=""/>
                <o:lock v:ext="edit" aspectratio="f"/>
                <w10:anchorlock/>
              </v:line>
            </w:pict>
          </mc:Fallback>
        </mc:AlternateContent>
      </w:r>
      <w:r>
        <w:rPr>
          <w:rFonts w:ascii="Times New Roman" w:hAnsi="Times New Roman"/>
          <w:color w:val="000000" w:themeColor="text1"/>
          <w14:textFill>
            <w14:solidFill>
              <w14:schemeClr w14:val="tx1"/>
            </w14:solidFill>
          </w14:textFill>
        </w:rPr>
        <mc:AlternateContent>
          <mc:Choice Requires="wps">
            <w:drawing>
              <wp:anchor distT="0" distB="0" distL="0" distR="0" simplePos="0" relativeHeight="251660288" behindDoc="0" locked="1" layoutInCell="1" allowOverlap="1">
                <wp:simplePos x="0" y="0"/>
                <wp:positionH relativeFrom="column">
                  <wp:posOffset>0</wp:posOffset>
                </wp:positionH>
                <wp:positionV relativeFrom="paragraph">
                  <wp:posOffset>50800</wp:posOffset>
                </wp:positionV>
                <wp:extent cx="5615940" cy="2540"/>
                <wp:effectExtent l="0" t="0" r="0" b="0"/>
                <wp:wrapNone/>
                <wp:docPr id="1028" name="直接连接符 9"/>
                <wp:cNvGraphicFramePr/>
                <a:graphic xmlns:a="http://schemas.openxmlformats.org/drawingml/2006/main">
                  <a:graphicData uri="http://schemas.microsoft.com/office/word/2010/wordprocessingShape">
                    <wps:wsp>
                      <wps:cNvCnPr/>
                      <wps:spPr>
                        <a:xfrm>
                          <a:off x="0" y="0"/>
                          <a:ext cx="5615940" cy="2539"/>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w:pict>
              <v:line id="直接连接符 9" o:spid="_x0000_s1026" o:spt="20" style="position:absolute;left:0pt;margin-left:0pt;margin-top:4pt;height:0.2pt;width:442.2pt;z-index:251660288;mso-width-relative:page;mso-height-relative:page;" filled="f" stroked="t" coordsize="21600,21600" o:gfxdata="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BnrlJ9MAAAAEAQAADwAAAAAAAAABACAAAAAiAAAAZHJzL2Rvd25yZXYueG1sUEsBAhQA&#10;FAAAAAgAh07iQDH2V9P3AQAA6AMAAA4AAAAAAAAAAQAgAAAAIgEAAGRycy9lMm9Eb2MueG1sUEsF&#10;BgAAAAAGAAYAWQEAAIsFAAAAAA==&#10;">
                <v:fill on="f" focussize="0,0"/>
                <v:stroke color="#000000" joinstyle="round"/>
                <v:imagedata o:title=""/>
                <o:lock v:ext="edit" aspectratio="f"/>
                <w10:anchorlock/>
              </v:line>
            </w:pict>
          </mc:Fallback>
        </mc:AlternateContent>
      </w:r>
      <w:r>
        <w:rPr>
          <w:rFonts w:ascii="Times New Roman" w:hAnsi="Times New Roman" w:eastAsia="方正仿宋_GBK"/>
          <w:color w:val="000000" w:themeColor="text1"/>
          <w:sz w:val="28"/>
          <w:szCs w:val="28"/>
          <w14:textFill>
            <w14:solidFill>
              <w14:schemeClr w14:val="tx1"/>
            </w14:solidFill>
          </w14:textFill>
        </w:rPr>
        <w:t>宿迁市人民政府办公室                     2022年</w:t>
      </w:r>
      <w:r>
        <w:rPr>
          <w:rFonts w:hint="eastAsia" w:ascii="Times New Roman" w:hAnsi="Times New Roman" w:eastAsia="方正仿宋_GBK"/>
          <w:color w:val="000000" w:themeColor="text1"/>
          <w:sz w:val="28"/>
          <w:szCs w:val="28"/>
          <w14:textFill>
            <w14:solidFill>
              <w14:schemeClr w14:val="tx1"/>
            </w14:solidFill>
          </w14:textFill>
        </w:rPr>
        <w:t>5</w:t>
      </w:r>
      <w:r>
        <w:rPr>
          <w:rFonts w:ascii="Times New Roman" w:hAnsi="Times New Roman" w:eastAsia="方正仿宋_GBK"/>
          <w:color w:val="000000" w:themeColor="text1"/>
          <w:sz w:val="28"/>
          <w:szCs w:val="28"/>
          <w14:textFill>
            <w14:solidFill>
              <w14:schemeClr w14:val="tx1"/>
            </w14:solidFill>
          </w14:textFill>
        </w:rPr>
        <w:t>月</w:t>
      </w:r>
      <w:r>
        <w:rPr>
          <w:rFonts w:hint="eastAsia" w:ascii="Times New Roman" w:hAnsi="Times New Roman" w:eastAsia="方正仿宋_GBK"/>
          <w:color w:val="000000" w:themeColor="text1"/>
          <w:sz w:val="28"/>
          <w:szCs w:val="28"/>
          <w14:textFill>
            <w14:solidFill>
              <w14:schemeClr w14:val="tx1"/>
            </w14:solidFill>
          </w14:textFill>
        </w:rPr>
        <w:t>9</w:t>
      </w:r>
      <w:r>
        <w:rPr>
          <w:rFonts w:ascii="Times New Roman" w:hAnsi="Times New Roman" w:eastAsia="方正仿宋_GBK"/>
          <w:color w:val="000000" w:themeColor="text1"/>
          <w:sz w:val="28"/>
          <w:szCs w:val="28"/>
          <w14:textFill>
            <w14:solidFill>
              <w14:schemeClr w14:val="tx1"/>
            </w14:solidFill>
          </w14:textFill>
        </w:rPr>
        <w:t>日印发</w:t>
      </w:r>
    </w:p>
    <w:sectPr>
      <w:footerReference r:id="rId4" w:type="default"/>
      <w:pgSz w:w="11906" w:h="16838"/>
      <w:pgMar w:top="2098" w:right="1531" w:bottom="1928" w:left="1531" w:header="851" w:footer="1361" w:gutter="0"/>
      <w:cols w:space="720" w:num="1"/>
      <w:docGrid w:type="linesAndChar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5"/>
                            <w:ind w:left="210" w:leftChars="100" w:right="210" w:rightChars="100"/>
                            <w:jc w:val="center"/>
                            <w:rPr>
                              <w:rFonts w:ascii="方正仿宋_GBK" w:hAnsi="方正仿宋_GBK" w:eastAsia="方正仿宋_GBK" w:cs="方正仿宋_GBK"/>
                            </w:rPr>
                          </w:pPr>
                          <w:r>
                            <w:rPr>
                              <w:rFonts w:hint="eastAsia"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PAGE   \* MERGEFORMAT</w:instrText>
                          </w:r>
                          <w:r>
                            <w:rPr>
                              <w:rFonts w:hint="eastAsia" w:ascii="方正仿宋_GBK" w:hAnsi="方正仿宋_GBK" w:eastAsia="方正仿宋_GBK" w:cs="方正仿宋_GBK"/>
                              <w:sz w:val="28"/>
                              <w:szCs w:val="28"/>
                            </w:rPr>
                            <w:fldChar w:fldCharType="separate"/>
                          </w:r>
                          <w:r>
                            <w:rPr>
                              <w:rFonts w:ascii="方正仿宋_GBK" w:hAnsi="方正仿宋_GBK" w:eastAsia="方正仿宋_GBK" w:cs="方正仿宋_GBK"/>
                              <w:sz w:val="28"/>
                              <w:szCs w:val="28"/>
                              <w:lang w:val="zh-CN"/>
                            </w:rPr>
                            <w:t>13</w:t>
                          </w:r>
                          <w:r>
                            <w:rPr>
                              <w:rFonts w:hint="eastAsia" w:ascii="方正仿宋_GBK" w:hAnsi="方正仿宋_GBK" w:eastAsia="方正仿宋_GBK" w:cs="方正仿宋_GBK"/>
                              <w:sz w:val="28"/>
                              <w:szCs w:val="28"/>
                            </w:rPr>
                            <w:fldChar w:fldCharType="end"/>
                          </w:r>
                          <w:r>
                            <w:rPr>
                              <w:rFonts w:hint="eastAsia" w:ascii="方正仿宋_GBK" w:hAnsi="方正仿宋_GBK" w:eastAsia="方正仿宋_GBK" w:cs="方正仿宋_GBK"/>
                              <w:sz w:val="28"/>
                              <w:szCs w:val="28"/>
                            </w:rPr>
                            <w:t xml:space="preserve"> —</w:t>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JYnrP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Alies8kBAACSAwAADgAAAAAAAAABACAAAAAfAQAAZHJzL2Uyb0Rv&#10;Yy54bWxQSwUGAAAAAAYABgBZAQAAWgUAAAAA&#10;">
              <v:fill on="f" focussize="0,0"/>
              <v:stroke on="f"/>
              <v:imagedata o:title=""/>
              <o:lock v:ext="edit" aspectratio="f"/>
              <v:textbox inset="0mm,0mm,0mm,0mm" style="mso-fit-shape-to-text:t;">
                <w:txbxContent>
                  <w:p>
                    <w:pPr>
                      <w:pStyle w:val="5"/>
                      <w:ind w:left="210" w:leftChars="100" w:right="210" w:rightChars="100"/>
                      <w:jc w:val="center"/>
                      <w:rPr>
                        <w:rFonts w:ascii="方正仿宋_GBK" w:hAnsi="方正仿宋_GBK" w:eastAsia="方正仿宋_GBK" w:cs="方正仿宋_GBK"/>
                      </w:rPr>
                    </w:pPr>
                    <w:r>
                      <w:rPr>
                        <w:rFonts w:hint="eastAsia"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PAGE   \* MERGEFORMAT</w:instrText>
                    </w:r>
                    <w:r>
                      <w:rPr>
                        <w:rFonts w:hint="eastAsia" w:ascii="方正仿宋_GBK" w:hAnsi="方正仿宋_GBK" w:eastAsia="方正仿宋_GBK" w:cs="方正仿宋_GBK"/>
                        <w:sz w:val="28"/>
                        <w:szCs w:val="28"/>
                      </w:rPr>
                      <w:fldChar w:fldCharType="separate"/>
                    </w:r>
                    <w:r>
                      <w:rPr>
                        <w:rFonts w:ascii="方正仿宋_GBK" w:hAnsi="方正仿宋_GBK" w:eastAsia="方正仿宋_GBK" w:cs="方正仿宋_GBK"/>
                        <w:sz w:val="28"/>
                        <w:szCs w:val="28"/>
                        <w:lang w:val="zh-CN"/>
                      </w:rPr>
                      <w:t>13</w:t>
                    </w:r>
                    <w:r>
                      <w:rPr>
                        <w:rFonts w:hint="eastAsia" w:ascii="方正仿宋_GBK" w:hAnsi="方正仿宋_GBK" w:eastAsia="方正仿宋_GBK" w:cs="方正仿宋_GBK"/>
                        <w:sz w:val="28"/>
                        <w:szCs w:val="28"/>
                      </w:rPr>
                      <w:fldChar w:fldCharType="end"/>
                    </w:r>
                    <w:r>
                      <w:rPr>
                        <w:rFonts w:hint="eastAsia" w:ascii="方正仿宋_GBK" w:hAnsi="方正仿宋_GBK" w:eastAsia="方正仿宋_GBK" w:cs="方正仿宋_GBK"/>
                        <w:sz w:val="28"/>
                        <w:szCs w:val="28"/>
                      </w:rPr>
                      <w:t xml:space="preserve"> —</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0" distR="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8"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5"/>
                            <w:ind w:left="315" w:leftChars="150" w:right="315" w:rightChars="150"/>
                            <w:jc w:val="center"/>
                            <w:rPr>
                              <w:rFonts w:ascii="方正仿宋_GBK" w:hAnsi="方正仿宋_GBK" w:eastAsia="方正仿宋_GBK" w:cs="方正仿宋_GBK"/>
                            </w:rPr>
                          </w:pPr>
                          <w:r>
                            <w:rPr>
                              <w:rFonts w:hint="eastAsia"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PAGE   \* MERGEFORMAT</w:instrText>
                          </w:r>
                          <w:r>
                            <w:rPr>
                              <w:rFonts w:hint="eastAsia" w:ascii="方正仿宋_GBK" w:hAnsi="方正仿宋_GBK" w:eastAsia="方正仿宋_GBK" w:cs="方正仿宋_GBK"/>
                              <w:sz w:val="28"/>
                              <w:szCs w:val="28"/>
                            </w:rPr>
                            <w:fldChar w:fldCharType="separate"/>
                          </w:r>
                          <w:r>
                            <w:rPr>
                              <w:rFonts w:ascii="方正仿宋_GBK" w:hAnsi="方正仿宋_GBK" w:eastAsia="方正仿宋_GBK" w:cs="方正仿宋_GBK"/>
                              <w:sz w:val="28"/>
                              <w:szCs w:val="28"/>
                              <w:lang w:val="zh-CN"/>
                            </w:rPr>
                            <w:t>14</w:t>
                          </w:r>
                          <w:r>
                            <w:rPr>
                              <w:rFonts w:hint="eastAsia" w:ascii="方正仿宋_GBK" w:hAnsi="方正仿宋_GBK" w:eastAsia="方正仿宋_GBK" w:cs="方正仿宋_GBK"/>
                              <w:sz w:val="28"/>
                              <w:szCs w:val="28"/>
                            </w:rPr>
                            <w:fldChar w:fldCharType="end"/>
                          </w:r>
                          <w:r>
                            <w:rPr>
                              <w:rFonts w:hint="eastAsia" w:ascii="方正仿宋_GBK" w:hAnsi="方正仿宋_GBK" w:eastAsia="方正仿宋_GBK" w:cs="方正仿宋_GBK"/>
                              <w:sz w:val="28"/>
                              <w:szCs w:val="28"/>
                            </w:rPr>
                            <w:t xml:space="preserve"> —</w:t>
                          </w:r>
                        </w:p>
                      </w:txbxContent>
                    </wps:txbx>
                    <wps:bodyPr vert="horz" wrap="none" lIns="0" tIns="0" rIns="0" bIns="0" anchor="t">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8RvrdckBAACSAwAADgAAAAAAAAABACAAAAAfAQAAZHJzL2Uyb0Rv&#10;Yy54bWxQSwUGAAAAAAYABgBZAQAAWgUAAAAA&#10;">
              <v:fill on="f" focussize="0,0"/>
              <v:stroke on="f"/>
              <v:imagedata o:title=""/>
              <o:lock v:ext="edit" aspectratio="f"/>
              <v:textbox inset="0mm,0mm,0mm,0mm" style="mso-fit-shape-to-text:t;">
                <w:txbxContent>
                  <w:p>
                    <w:pPr>
                      <w:pStyle w:val="5"/>
                      <w:ind w:left="315" w:leftChars="150" w:right="315" w:rightChars="150"/>
                      <w:jc w:val="center"/>
                      <w:rPr>
                        <w:rFonts w:ascii="方正仿宋_GBK" w:hAnsi="方正仿宋_GBK" w:eastAsia="方正仿宋_GBK" w:cs="方正仿宋_GBK"/>
                      </w:rPr>
                    </w:pPr>
                    <w:r>
                      <w:rPr>
                        <w:rFonts w:hint="eastAsia"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PAGE   \* MERGEFORMAT</w:instrText>
                    </w:r>
                    <w:r>
                      <w:rPr>
                        <w:rFonts w:hint="eastAsia" w:ascii="方正仿宋_GBK" w:hAnsi="方正仿宋_GBK" w:eastAsia="方正仿宋_GBK" w:cs="方正仿宋_GBK"/>
                        <w:sz w:val="28"/>
                        <w:szCs w:val="28"/>
                      </w:rPr>
                      <w:fldChar w:fldCharType="separate"/>
                    </w:r>
                    <w:r>
                      <w:rPr>
                        <w:rFonts w:ascii="方正仿宋_GBK" w:hAnsi="方正仿宋_GBK" w:eastAsia="方正仿宋_GBK" w:cs="方正仿宋_GBK"/>
                        <w:sz w:val="28"/>
                        <w:szCs w:val="28"/>
                        <w:lang w:val="zh-CN"/>
                      </w:rPr>
                      <w:t>14</w:t>
                    </w:r>
                    <w:r>
                      <w:rPr>
                        <w:rFonts w:hint="eastAsia" w:ascii="方正仿宋_GBK" w:hAnsi="方正仿宋_GBK" w:eastAsia="方正仿宋_GBK" w:cs="方正仿宋_GBK"/>
                        <w:sz w:val="28"/>
                        <w:szCs w:val="28"/>
                      </w:rPr>
                      <w:fldChar w:fldCharType="end"/>
                    </w:r>
                    <w:r>
                      <w:rPr>
                        <w:rFonts w:hint="eastAsia" w:ascii="方正仿宋_GBK" w:hAnsi="方正仿宋_GBK" w:eastAsia="方正仿宋_GBK" w:cs="方正仿宋_GBK"/>
                        <w:sz w:val="28"/>
                        <w:szCs w:val="28"/>
                      </w:rPr>
                      <w:t xml:space="preserve"> —</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nforcement="0"/>
  <w:defaultTabStop w:val="420"/>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yMThkZTI0NjU5MWUyMjJiYTI1N2NjYjFmYzdhMGQifQ=="/>
  </w:docVars>
  <w:rsids>
    <w:rsidRoot w:val="001418DE"/>
    <w:rsid w:val="001418DE"/>
    <w:rsid w:val="00BC46A5"/>
    <w:rsid w:val="00C97160"/>
    <w:rsid w:val="090C28BC"/>
    <w:rsid w:val="1CF40A68"/>
    <w:rsid w:val="1E67112E"/>
    <w:rsid w:val="240D0943"/>
    <w:rsid w:val="2D441E2C"/>
    <w:rsid w:val="37D85007"/>
    <w:rsid w:val="3FF35ABC"/>
    <w:rsid w:val="51F56CAA"/>
    <w:rsid w:val="5C657970"/>
    <w:rsid w:val="5E07607C"/>
    <w:rsid w:val="6026260E"/>
    <w:rsid w:val="6C1747BA"/>
    <w:rsid w:val="70D305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rPr>
      <w:rFonts w:ascii="方正仿宋_GBK" w:hAnsi="方正仿宋_GBK" w:eastAsia="方正仿宋_GBK" w:cs="方正仿宋_GBK"/>
      <w:sz w:val="32"/>
      <w:szCs w:val="32"/>
      <w:lang w:val="zh-CN" w:bidi="zh-CN"/>
    </w:rPr>
  </w:style>
  <w:style w:type="paragraph" w:styleId="3">
    <w:name w:val="Normal Indent"/>
    <w:basedOn w:val="1"/>
    <w:qFormat/>
    <w:uiPriority w:val="99"/>
    <w:pPr>
      <w:ind w:firstLine="624"/>
    </w:pPr>
    <w:rPr>
      <w:rFonts w:ascii="黑体" w:hAnsi="Times New Roman" w:cs="Times New Roman"/>
      <w:color w:val="000000"/>
      <w:szCs w:val="20"/>
    </w:rPr>
  </w:style>
  <w:style w:type="paragraph" w:styleId="4">
    <w:name w:val="Balloon Text"/>
    <w:basedOn w:val="1"/>
    <w:link w:val="11"/>
    <w:qFormat/>
    <w:uiPriority w:val="99"/>
    <w:rPr>
      <w:sz w:val="18"/>
      <w:szCs w:val="18"/>
    </w:rPr>
  </w:style>
  <w:style w:type="paragraph" w:styleId="5">
    <w:name w:val="footer"/>
    <w:basedOn w:val="1"/>
    <w:next w:val="6"/>
    <w:link w:val="12"/>
    <w:qFormat/>
    <w:uiPriority w:val="99"/>
    <w:pPr>
      <w:tabs>
        <w:tab w:val="center" w:pos="4153"/>
        <w:tab w:val="right" w:pos="8306"/>
      </w:tabs>
      <w:snapToGrid w:val="0"/>
      <w:jc w:val="left"/>
    </w:pPr>
    <w:rPr>
      <w:sz w:val="18"/>
      <w:szCs w:val="18"/>
    </w:rPr>
  </w:style>
  <w:style w:type="paragraph" w:styleId="6">
    <w:name w:val="header"/>
    <w:basedOn w:val="1"/>
    <w:next w:val="5"/>
    <w:link w:val="13"/>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szCs w:val="24"/>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批注框文本 Char"/>
    <w:link w:val="4"/>
    <w:qFormat/>
    <w:uiPriority w:val="99"/>
    <w:rPr>
      <w:kern w:val="2"/>
      <w:sz w:val="18"/>
      <w:szCs w:val="18"/>
    </w:rPr>
  </w:style>
  <w:style w:type="character" w:customStyle="1" w:styleId="12">
    <w:name w:val="页脚 Char"/>
    <w:link w:val="5"/>
    <w:qFormat/>
    <w:uiPriority w:val="99"/>
    <w:rPr>
      <w:sz w:val="18"/>
      <w:szCs w:val="18"/>
    </w:rPr>
  </w:style>
  <w:style w:type="character" w:customStyle="1" w:styleId="13">
    <w:name w:val="页眉 Char"/>
    <w:link w:val="6"/>
    <w:qFormat/>
    <w:uiPriority w:val="99"/>
    <w:rPr>
      <w:sz w:val="18"/>
      <w:szCs w:val="18"/>
    </w:rPr>
  </w:style>
  <w:style w:type="paragraph" w:customStyle="1" w:styleId="14">
    <w:name w:val="BodyText1I2"/>
    <w:basedOn w:val="15"/>
    <w:next w:val="17"/>
    <w:qFormat/>
    <w:uiPriority w:val="0"/>
    <w:pPr>
      <w:ind w:firstLine="420" w:firstLineChars="200"/>
    </w:pPr>
  </w:style>
  <w:style w:type="paragraph" w:customStyle="1" w:styleId="15">
    <w:name w:val="BodyTextIndent"/>
    <w:basedOn w:val="1"/>
    <w:next w:val="16"/>
    <w:qFormat/>
    <w:uiPriority w:val="0"/>
    <w:pPr>
      <w:spacing w:after="120"/>
      <w:ind w:left="420" w:leftChars="200"/>
      <w:textAlignment w:val="baseline"/>
    </w:pPr>
    <w:rPr>
      <w:rFonts w:cs="Times New Roman"/>
    </w:rPr>
  </w:style>
  <w:style w:type="paragraph" w:customStyle="1" w:styleId="16">
    <w:name w:val="NormalIndent"/>
    <w:basedOn w:val="1"/>
    <w:qFormat/>
    <w:uiPriority w:val="0"/>
    <w:pPr>
      <w:ind w:firstLine="420" w:firstLineChars="200"/>
      <w:textAlignment w:val="baseline"/>
    </w:pPr>
    <w:rPr>
      <w:rFonts w:eastAsia="仿宋" w:cs="Times New Roman"/>
      <w:sz w:val="32"/>
      <w:szCs w:val="24"/>
    </w:rPr>
  </w:style>
  <w:style w:type="paragraph" w:customStyle="1" w:styleId="17">
    <w:name w:val="BodyText1I"/>
    <w:basedOn w:val="18"/>
    <w:qFormat/>
    <w:uiPriority w:val="0"/>
    <w:pPr>
      <w:ind w:firstLine="420" w:firstLineChars="100"/>
    </w:pPr>
  </w:style>
  <w:style w:type="paragraph" w:customStyle="1" w:styleId="18">
    <w:name w:val="BodyText"/>
    <w:basedOn w:val="1"/>
    <w:next w:val="1"/>
    <w:qFormat/>
    <w:uiPriority w:val="0"/>
    <w:pPr>
      <w:spacing w:after="120"/>
      <w:textAlignment w:val="baseline"/>
    </w:pPr>
  </w:style>
  <w:style w:type="paragraph" w:styleId="19">
    <w:name w:val="List Paragraph"/>
    <w:basedOn w:val="1"/>
    <w:qFormat/>
    <w:uiPriority w:val="34"/>
    <w:pPr>
      <w:ind w:firstLine="420" w:firstLineChars="200"/>
    </w:pPr>
  </w:style>
  <w:style w:type="paragraph" w:customStyle="1" w:styleId="20">
    <w:name w:val="文头"/>
    <w:basedOn w:val="1"/>
    <w:qFormat/>
    <w:uiPriority w:val="0"/>
    <w:pPr>
      <w:autoSpaceDE w:val="0"/>
      <w:autoSpaceDN w:val="0"/>
      <w:adjustRightInd w:val="0"/>
      <w:spacing w:before="320" w:line="227" w:lineRule="atLeast"/>
      <w:ind w:left="227" w:right="227" w:firstLine="200" w:firstLineChars="200"/>
      <w:jc w:val="distribute"/>
    </w:pPr>
    <w:rPr>
      <w:rFonts w:ascii="?????" w:hAnsi="Times New Roman" w:eastAsia="Times New Roman" w:cs="?????"/>
      <w:color w:val="FF0000"/>
      <w:spacing w:val="36"/>
      <w:w w:val="82"/>
      <w:kern w:val="0"/>
      <w:sz w:val="90"/>
      <w:szCs w:val="9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Pages>
  <Words>1267</Words>
  <Characters>7226</Characters>
  <Lines>60</Lines>
  <Paragraphs>16</Paragraphs>
  <TotalTime>0</TotalTime>
  <ScaleCrop>false</ScaleCrop>
  <LinksUpToDate>false</LinksUpToDate>
  <CharactersWithSpaces>8477</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2022-05-16T08:24:00Z</dcterms:created>
  <dc:creator>Tencent</dc:creator>
  <cp:lastModifiedBy>文档存本地丢失不负责</cp:lastModifiedBy>
  <cp:lastPrinted>2022-05-09T09:26:00Z</cp:lastPrinted>
  <dcterms:modified xsi:type="dcterms:W3CDTF">2022-09-05T06:43:23Z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567DCA55F74A43F9A919B5F0E0FD4067</vt:lpwstr>
  </property>
</Properties>
</file>