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autoSpaceDN/>
        <w:adjustRightInd w:val="0"/>
        <w:spacing w:line="640" w:lineRule="exact"/>
        <w:ind w:firstLine="0"/>
        <w:jc w:val="center"/>
        <w:rPr>
          <w:rFonts w:hint="default" w:ascii="Times New Roman" w:hAnsi="Times New Roman" w:cs="Times New Roman"/>
          <w:snapToGrid/>
          <w:kern w:val="2"/>
          <w:szCs w:val="32"/>
        </w:rPr>
      </w:pPr>
      <w:bookmarkStart w:id="0" w:name="_Hlk104547039"/>
      <w:bookmarkEnd w:id="0"/>
      <w:bookmarkStart w:id="1" w:name="_Toc17376"/>
      <w:bookmarkEnd w:id="1"/>
      <w:bookmarkStart w:id="2" w:name="_Toc24727"/>
      <w:bookmarkEnd w:id="2"/>
    </w:p>
    <w:p>
      <w:pPr>
        <w:pStyle w:val="40"/>
        <w:spacing w:after="0" w:line="1800" w:lineRule="exact"/>
        <w:ind w:left="0" w:right="0" w:firstLine="0"/>
        <w:rPr>
          <w:rFonts w:hint="default" w:ascii="Times New Roman" w:hAnsi="Times New Roman" w:eastAsia="方正小标宋_GBK" w:cs="Times New Roman"/>
          <w:b w:val="0"/>
          <w:color w:val="FFFFFF" w:themeColor="background1"/>
          <w:spacing w:val="-10"/>
          <w:w w:val="53"/>
          <w:sz w:val="144"/>
          <w14:textFill>
            <w14:solidFill>
              <w14:schemeClr w14:val="bg1"/>
            </w14:solidFill>
          </w14:textFill>
        </w:rPr>
      </w:pPr>
      <w:r>
        <w:rPr>
          <w:rFonts w:hint="default" w:ascii="Times New Roman" w:hAnsi="Times New Roman" w:eastAsia="方正小标宋_GBK" w:cs="Times New Roman"/>
          <w:b w:val="0"/>
          <w:color w:val="FFFFFF" w:themeColor="background1"/>
          <w:spacing w:val="-10"/>
          <w:w w:val="53"/>
          <w:sz w:val="144"/>
          <w14:textFill>
            <w14:solidFill>
              <w14:schemeClr w14:val="bg1"/>
            </w14:solidFill>
          </w14:textFill>
        </w:rPr>
        <w:t>宿迁市人民政府办公室文件</w:t>
      </w:r>
    </w:p>
    <w:p>
      <w:pPr>
        <w:autoSpaceDE/>
        <w:autoSpaceDN/>
        <w:adjustRightInd w:val="0"/>
        <w:spacing w:line="640" w:lineRule="exact"/>
        <w:ind w:firstLine="0"/>
        <w:jc w:val="center"/>
        <w:rPr>
          <w:rFonts w:hint="default" w:ascii="Times New Roman" w:hAnsi="Times New Roman" w:cs="Times New Roman"/>
          <w:snapToGrid/>
          <w:kern w:val="2"/>
          <w:szCs w:val="32"/>
        </w:rPr>
      </w:pPr>
    </w:p>
    <w:p>
      <w:pPr>
        <w:keepNext w:val="0"/>
        <w:keepLines w:val="0"/>
        <w:pageBreakBefore w:val="0"/>
        <w:widowControl w:val="0"/>
        <w:kinsoku/>
        <w:wordWrap/>
        <w:overflowPunct w:val="0"/>
        <w:topLinePunct w:val="0"/>
        <w:autoSpaceDE/>
        <w:autoSpaceDN/>
        <w:bidi w:val="0"/>
        <w:adjustRightInd/>
        <w:snapToGrid/>
        <w:spacing w:line="580" w:lineRule="exact"/>
        <w:jc w:val="center"/>
        <w:textAlignment w:val="auto"/>
        <w:rPr>
          <w:rFonts w:hint="default" w:ascii="Times New Roman" w:hAnsi="Times New Roman" w:eastAsia="方正小标宋_GBK" w:cs="Times New Roman"/>
          <w:b w:val="0"/>
          <w:bCs w:val="0"/>
          <w:sz w:val="44"/>
          <w:szCs w:val="44"/>
          <w:lang w:bidi="ar"/>
        </w:rPr>
      </w:pPr>
      <w:bookmarkStart w:id="22" w:name="_GoBack"/>
      <w:r>
        <w:rPr>
          <w:rFonts w:hint="default" w:ascii="Times New Roman" w:hAnsi="Times New Roman" w:eastAsia="方正仿宋_GBK" w:cs="Times New Roman"/>
          <w:b w:val="0"/>
          <w:bCs w:val="0"/>
          <w:sz w:val="32"/>
          <w:szCs w:val="32"/>
        </w:rPr>
        <w:t>宿政办发〔2022〕</w:t>
      </w:r>
      <w:r>
        <w:rPr>
          <w:rFonts w:hint="eastAsia" w:ascii="Times New Roman" w:hAnsi="Times New Roman" w:eastAsia="方正仿宋_GBK" w:cs="Times New Roman"/>
          <w:b w:val="0"/>
          <w:bCs w:val="0"/>
          <w:sz w:val="32"/>
          <w:szCs w:val="32"/>
          <w:lang w:val="en-US" w:eastAsia="zh-CN"/>
        </w:rPr>
        <w:t>67</w:t>
      </w:r>
      <w:r>
        <w:rPr>
          <w:rFonts w:hint="default" w:ascii="Times New Roman" w:hAnsi="Times New Roman" w:eastAsia="方正仿宋_GBK" w:cs="Times New Roman"/>
          <w:b w:val="0"/>
          <w:bCs w:val="0"/>
          <w:sz w:val="32"/>
          <w:szCs w:val="32"/>
        </w:rPr>
        <w:t>号</w:t>
      </w:r>
    </w:p>
    <w:bookmarkEnd w:id="22"/>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小标宋_GBK" w:cs="Times New Roman"/>
          <w:b w:val="0"/>
          <w:bCs w:val="0"/>
          <w:sz w:val="44"/>
          <w:szCs w:val="44"/>
        </w:rPr>
      </w:pPr>
      <w:r>
        <w:rPr>
          <w:rFonts w:hint="default" w:ascii="Times New Roman" w:hAnsi="Times New Roman" w:eastAsia="方正小标宋_GBK" w:cs="Times New Roman"/>
          <w:b/>
          <w:snapToGrid/>
          <w:color w:val="FF0000"/>
          <w:spacing w:val="-10"/>
          <w:sz w:val="144"/>
        </w:rPr>
        <mc:AlternateContent>
          <mc:Choice Requires="wps">
            <w:drawing>
              <wp:anchor distT="0" distB="0" distL="114300" distR="114300" simplePos="0" relativeHeight="251659264" behindDoc="0" locked="0" layoutInCell="1" allowOverlap="1">
                <wp:simplePos x="0" y="0"/>
                <wp:positionH relativeFrom="column">
                  <wp:posOffset>12065</wp:posOffset>
                </wp:positionH>
                <wp:positionV relativeFrom="paragraph">
                  <wp:posOffset>135255</wp:posOffset>
                </wp:positionV>
                <wp:extent cx="5615940" cy="0"/>
                <wp:effectExtent l="0" t="15240" r="7620" b="30480"/>
                <wp:wrapNone/>
                <wp:docPr id="1" name="直接连接符 1"/>
                <wp:cNvGraphicFramePr/>
                <a:graphic xmlns:a="http://schemas.openxmlformats.org/drawingml/2006/main">
                  <a:graphicData uri="http://schemas.microsoft.com/office/word/2010/wordprocessingShape">
                    <wps:wsp>
                      <wps:cNvCnPr/>
                      <wps:spPr>
                        <a:xfrm>
                          <a:off x="0" y="0"/>
                          <a:ext cx="5615940" cy="0"/>
                        </a:xfrm>
                        <a:prstGeom prst="line">
                          <a:avLst/>
                        </a:prstGeom>
                        <a:ln w="31115" cap="flat" cmpd="sng">
                          <a:solidFill>
                            <a:schemeClr val="bg1"/>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95pt;margin-top:10.65pt;height:0pt;width:442.2pt;z-index:251659264;mso-width-relative:page;mso-height-relative:page;" filled="f" stroked="t" coordsize="21600,21600" o:gfxdata="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xGY64tQAAAAHAQAADwAAAAAAAAABACAAAAAiAAAAZHJzL2Rvd25yZXYueG1sUEsBAhQA&#10;FAAAAAgAh07iQIwYLpr2AQAA5QMAAA4AAAAAAAAAAQAgAAAAIwEAAGRycy9lMm9Eb2MueG1sUEsF&#10;BgAAAAAGAAYAWQEAAIsFAAAAAA==&#10;">
                <v:fill on="f" focussize="0,0"/>
                <v:stroke weight="2.45pt" color="#FFFFFF [3212]"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小标宋_GBK" w:cs="Times New Roman"/>
          <w:b w:val="0"/>
          <w:bCs w:val="0"/>
          <w:spacing w:val="0"/>
          <w:sz w:val="44"/>
          <w:szCs w:val="44"/>
          <w:lang w:eastAsia="zh-CN"/>
        </w:rPr>
      </w:pPr>
    </w:p>
    <w:p>
      <w:pPr>
        <w:keepNext w:val="0"/>
        <w:keepLines w:val="0"/>
        <w:pageBreakBefore w:val="0"/>
        <w:widowControl w:val="0"/>
        <w:kinsoku/>
        <w:wordWrap/>
        <w:overflowPunct w:val="0"/>
        <w:topLinePunct w:val="0"/>
        <w:autoSpaceDE/>
        <w:autoSpaceDN/>
        <w:bidi w:val="0"/>
        <w:spacing w:line="580" w:lineRule="exact"/>
        <w:jc w:val="center"/>
        <w:textAlignment w:val="auto"/>
        <w:rPr>
          <w:rFonts w:hint="eastAsia" w:ascii="Times New Roman" w:hAnsi="Times New Roman" w:eastAsia="方正小标宋_GBK"/>
          <w:sz w:val="44"/>
          <w:szCs w:val="44"/>
          <w:lang w:val="en-US" w:eastAsia="zh-CN"/>
        </w:rPr>
      </w:pPr>
      <w:r>
        <w:rPr>
          <w:rFonts w:hint="eastAsia" w:ascii="Times New Roman" w:hAnsi="Times New Roman" w:eastAsia="方正小标宋_GBK"/>
          <w:sz w:val="44"/>
          <w:szCs w:val="44"/>
        </w:rPr>
        <w:t>市</w:t>
      </w:r>
      <w:r>
        <w:rPr>
          <w:rFonts w:hint="eastAsia" w:ascii="Times New Roman" w:hAnsi="Times New Roman" w:eastAsia="方正小标宋_GBK"/>
          <w:sz w:val="44"/>
          <w:szCs w:val="44"/>
          <w:lang w:val="en-US" w:eastAsia="zh-CN"/>
        </w:rPr>
        <w:t>政府办公室关于印发</w:t>
      </w:r>
    </w:p>
    <w:p>
      <w:pPr>
        <w:keepNext w:val="0"/>
        <w:keepLines w:val="0"/>
        <w:pageBreakBefore w:val="0"/>
        <w:widowControl w:val="0"/>
        <w:kinsoku/>
        <w:wordWrap/>
        <w:overflowPunct w:val="0"/>
        <w:topLinePunct w:val="0"/>
        <w:autoSpaceDE/>
        <w:autoSpaceDN/>
        <w:bidi w:val="0"/>
        <w:spacing w:line="580" w:lineRule="exact"/>
        <w:jc w:val="center"/>
        <w:textAlignment w:val="auto"/>
        <w:rPr>
          <w:rFonts w:hint="default" w:ascii="Times New Roman" w:hAnsi="Times New Roman" w:eastAsia="方正小标宋_GBK"/>
          <w:sz w:val="44"/>
          <w:szCs w:val="44"/>
          <w:lang w:val="en-US" w:eastAsia="zh-CN"/>
        </w:rPr>
      </w:pPr>
      <w:r>
        <w:rPr>
          <w:rFonts w:hint="eastAsia" w:ascii="Times New Roman" w:hAnsi="Times New Roman" w:eastAsia="方正小标宋_GBK"/>
          <w:sz w:val="44"/>
          <w:szCs w:val="44"/>
          <w:lang w:val="en-US" w:eastAsia="zh-CN"/>
        </w:rPr>
        <w:t>宿迁市小城市赋权工作方案的通知</w:t>
      </w:r>
    </w:p>
    <w:p>
      <w:pPr>
        <w:keepNext w:val="0"/>
        <w:keepLines w:val="0"/>
        <w:pageBreakBefore w:val="0"/>
        <w:widowControl w:val="0"/>
        <w:kinsoku/>
        <w:wordWrap/>
        <w:overflowPunct w:val="0"/>
        <w:topLinePunct w:val="0"/>
        <w:autoSpaceDE/>
        <w:autoSpaceDN/>
        <w:bidi w:val="0"/>
        <w:adjustRightInd/>
        <w:snapToGrid/>
        <w:spacing w:line="560" w:lineRule="exact"/>
        <w:jc w:val="center"/>
        <w:textAlignment w:val="auto"/>
        <w:rPr>
          <w:rFonts w:ascii="Times New Roman" w:hAnsi="Times New Roman" w:eastAsia="方正楷体_GBK"/>
          <w:sz w:val="32"/>
          <w:szCs w:val="32"/>
        </w:rPr>
      </w:pPr>
    </w:p>
    <w:p>
      <w:pPr>
        <w:pStyle w:val="12"/>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Autospacing="0" w:line="560" w:lineRule="exact"/>
        <w:ind w:right="0"/>
        <w:jc w:val="both"/>
        <w:textAlignment w:val="auto"/>
        <w:outlineLvl w:val="9"/>
        <w:rPr>
          <w:rFonts w:hint="eastAsia" w:ascii="方正仿宋_GBK" w:hAnsi="方正仿宋_GBK" w:eastAsia="方正仿宋_GBK" w:cs="方正仿宋_GBK"/>
          <w:snapToGrid w:val="0"/>
          <w:sz w:val="32"/>
          <w:szCs w:val="32"/>
          <w:lang w:val="en-US" w:eastAsia="zh-CN"/>
        </w:rPr>
      </w:pPr>
      <w:r>
        <w:rPr>
          <w:rFonts w:hint="eastAsia" w:ascii="方正仿宋_GBK" w:hAnsi="方正仿宋_GBK" w:eastAsia="方正仿宋_GBK" w:cs="方正仿宋_GBK"/>
          <w:snapToGrid w:val="0"/>
          <w:sz w:val="32"/>
          <w:szCs w:val="32"/>
          <w:lang w:val="en-US" w:eastAsia="zh-CN"/>
        </w:rPr>
        <w:t>各县、区人民政府，市各有关单位和部门：</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jc w:val="both"/>
        <w:textAlignment w:val="auto"/>
        <w:rPr>
          <w:rFonts w:hint="eastAsia" w:ascii="方正仿宋_GBK" w:hAnsi="方正仿宋_GBK" w:eastAsia="方正仿宋_GBK" w:cs="方正仿宋_GBK"/>
          <w:snapToGrid w:val="0"/>
          <w:sz w:val="32"/>
          <w:szCs w:val="32"/>
          <w:lang w:val="en-US" w:eastAsia="zh-CN"/>
        </w:rPr>
      </w:pPr>
      <w:r>
        <w:rPr>
          <w:rFonts w:hint="eastAsia" w:ascii="方正仿宋_GBK" w:hAnsi="方正仿宋_GBK" w:eastAsia="方正仿宋_GBK" w:cs="方正仿宋_GBK"/>
          <w:snapToGrid w:val="0"/>
          <w:sz w:val="32"/>
          <w:szCs w:val="32"/>
          <w:lang w:val="en-US" w:eastAsia="zh-CN"/>
        </w:rPr>
        <w:t>现将《宿迁市小城市赋权工作方案》印发给你们，请认真贯彻落实。</w:t>
      </w:r>
    </w:p>
    <w:p>
      <w:pPr>
        <w:pStyle w:val="14"/>
        <w:keepNext w:val="0"/>
        <w:keepLines w:val="0"/>
        <w:pageBreakBefore w:val="0"/>
        <w:widowControl w:val="0"/>
        <w:kinsoku/>
        <w:wordWrap/>
        <w:topLinePunct w:val="0"/>
        <w:autoSpaceDE/>
        <w:autoSpaceDN/>
        <w:bidi w:val="0"/>
        <w:adjustRightInd/>
        <w:snapToGrid/>
        <w:spacing w:after="0" w:line="560" w:lineRule="exact"/>
        <w:textAlignment w:val="auto"/>
        <w:rPr>
          <w:rFonts w:hint="eastAsia" w:ascii="方正仿宋_GBK" w:hAnsi="方正仿宋_GBK" w:eastAsia="方正仿宋_GBK" w:cs="方正仿宋_GBK"/>
          <w:snapToGrid w:val="0"/>
          <w:sz w:val="32"/>
          <w:szCs w:val="32"/>
          <w:lang w:val="en-US" w:eastAsia="zh-CN"/>
        </w:rPr>
      </w:pPr>
      <w:r>
        <w:rPr>
          <w:rFonts w:hint="eastAsia" w:ascii="方正仿宋_GBK" w:hAnsi="方正仿宋_GBK" w:eastAsia="方正仿宋_GBK" w:cs="方正仿宋_GBK"/>
          <w:snapToGrid w:val="0"/>
          <w:sz w:val="32"/>
          <w:szCs w:val="32"/>
          <w:lang w:val="en-US" w:eastAsia="zh-CN"/>
        </w:rPr>
        <w:t xml:space="preserve">   </w:t>
      </w:r>
    </w:p>
    <w:p>
      <w:pPr>
        <w:pStyle w:val="14"/>
        <w:keepNext w:val="0"/>
        <w:keepLines w:val="0"/>
        <w:pageBreakBefore w:val="0"/>
        <w:widowControl w:val="0"/>
        <w:kinsoku/>
        <w:wordWrap/>
        <w:topLinePunct w:val="0"/>
        <w:autoSpaceDE/>
        <w:autoSpaceDN/>
        <w:bidi w:val="0"/>
        <w:adjustRightInd/>
        <w:snapToGrid/>
        <w:spacing w:after="0" w:line="560" w:lineRule="exact"/>
        <w:textAlignment w:val="auto"/>
        <w:rPr>
          <w:rFonts w:hint="eastAsia" w:ascii="方正仿宋_GBK" w:hAnsi="方正仿宋_GBK" w:eastAsia="方正仿宋_GBK" w:cs="方正仿宋_GBK"/>
          <w:snapToGrid w:val="0"/>
          <w:sz w:val="32"/>
          <w:szCs w:val="32"/>
          <w:lang w:val="en-US" w:eastAsia="zh-CN"/>
        </w:rPr>
      </w:pPr>
    </w:p>
    <w:p>
      <w:pPr>
        <w:pStyle w:val="14"/>
        <w:keepNext w:val="0"/>
        <w:keepLines w:val="0"/>
        <w:pageBreakBefore w:val="0"/>
        <w:widowControl w:val="0"/>
        <w:kinsoku/>
        <w:wordWrap/>
        <w:topLinePunct w:val="0"/>
        <w:autoSpaceDE/>
        <w:autoSpaceDN/>
        <w:bidi w:val="0"/>
        <w:adjustRightInd/>
        <w:snapToGrid/>
        <w:spacing w:after="0" w:line="560" w:lineRule="exact"/>
        <w:textAlignment w:val="auto"/>
        <w:rPr>
          <w:rFonts w:hint="eastAsia" w:ascii="方正仿宋_GBK" w:hAnsi="方正仿宋_GBK" w:eastAsia="方正仿宋_GBK" w:cs="方正仿宋_GBK"/>
          <w:snapToGrid w:val="0"/>
          <w:sz w:val="32"/>
          <w:szCs w:val="32"/>
          <w:lang w:val="en-US" w:eastAsia="zh-CN"/>
        </w:rPr>
      </w:pPr>
    </w:p>
    <w:p>
      <w:pPr>
        <w:pStyle w:val="14"/>
        <w:keepNext w:val="0"/>
        <w:keepLines w:val="0"/>
        <w:pageBreakBefore w:val="0"/>
        <w:widowControl w:val="0"/>
        <w:kinsoku/>
        <w:wordWrap/>
        <w:topLinePunct w:val="0"/>
        <w:autoSpaceDE/>
        <w:autoSpaceDN/>
        <w:bidi w:val="0"/>
        <w:adjustRightInd/>
        <w:snapToGrid/>
        <w:spacing w:after="0" w:line="560" w:lineRule="exact"/>
        <w:textAlignment w:val="auto"/>
        <w:rPr>
          <w:rFonts w:hint="eastAsia" w:ascii="方正仿宋_GBK" w:hAnsi="方正仿宋_GBK" w:eastAsia="方正仿宋_GBK" w:cs="方正仿宋_GBK"/>
          <w:snapToGrid w:val="0"/>
          <w:sz w:val="32"/>
          <w:szCs w:val="32"/>
          <w:lang w:val="en-US" w:eastAsia="zh-CN"/>
        </w:rPr>
      </w:pPr>
      <w:r>
        <w:rPr>
          <w:rFonts w:hint="eastAsia" w:ascii="方正仿宋_GBK" w:hAnsi="方正仿宋_GBK" w:eastAsia="方正仿宋_GBK" w:cs="方正仿宋_GBK"/>
          <w:snapToGrid w:val="0"/>
          <w:sz w:val="32"/>
          <w:szCs w:val="32"/>
          <w:lang w:val="en-US" w:eastAsia="zh-CN"/>
        </w:rPr>
        <w:t xml:space="preserve">                     宿迁市人民政府办公室</w:t>
      </w:r>
    </w:p>
    <w:p>
      <w:pPr>
        <w:pStyle w:val="14"/>
        <w:keepNext w:val="0"/>
        <w:keepLines w:val="0"/>
        <w:pageBreakBefore w:val="0"/>
        <w:widowControl w:val="0"/>
        <w:kinsoku/>
        <w:wordWrap/>
        <w:topLinePunct w:val="0"/>
        <w:autoSpaceDE/>
        <w:autoSpaceDN/>
        <w:bidi w:val="0"/>
        <w:adjustRightInd/>
        <w:snapToGrid/>
        <w:spacing w:after="0" w:line="560" w:lineRule="exact"/>
        <w:ind w:left="0" w:leftChars="0" w:firstLine="4758" w:firstLineChars="1487"/>
        <w:textAlignment w:val="auto"/>
        <w:rPr>
          <w:rFonts w:hint="eastAsia" w:ascii="方正仿宋_GBK" w:hAnsi="方正仿宋_GBK" w:eastAsia="方正仿宋_GBK" w:cs="方正仿宋_GBK"/>
          <w:snapToGrid w:val="0"/>
          <w:sz w:val="32"/>
          <w:szCs w:val="32"/>
          <w:lang w:val="en-US" w:eastAsia="zh-CN"/>
        </w:rPr>
      </w:pPr>
      <w:r>
        <w:rPr>
          <w:rFonts w:hint="eastAsia" w:ascii="方正仿宋_GBK" w:hAnsi="方正仿宋_GBK" w:eastAsia="方正仿宋_GBK" w:cs="方正仿宋_GBK"/>
          <w:snapToGrid w:val="0"/>
          <w:sz w:val="32"/>
          <w:szCs w:val="32"/>
          <w:lang w:val="en-US" w:eastAsia="zh-CN"/>
        </w:rPr>
        <w:t>2022年12月2日</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jc w:val="both"/>
        <w:textAlignment w:val="auto"/>
        <w:rPr>
          <w:rFonts w:hint="eastAsia"/>
          <w:lang w:val="en-US" w:eastAsia="zh-CN"/>
        </w:rPr>
      </w:pPr>
      <w:r>
        <w:rPr>
          <w:rFonts w:hint="eastAsia" w:eastAsia="仿宋" w:cs="Times New Roman"/>
          <w:snapToGrid w:val="0"/>
          <w:sz w:val="32"/>
          <w:szCs w:val="32"/>
          <w:lang w:val="en-US" w:eastAsia="zh-CN"/>
        </w:rPr>
        <w:t>（此件公开</w:t>
      </w:r>
      <w:r>
        <w:rPr>
          <w:rFonts w:hint="eastAsia" w:ascii="方正仿宋_GBK" w:hAnsi="方正仿宋_GBK" w:eastAsia="方正仿宋_GBK" w:cs="方正仿宋_GBK"/>
          <w:snapToGrid w:val="0"/>
          <w:sz w:val="32"/>
          <w:szCs w:val="32"/>
          <w:lang w:val="en-US" w:eastAsia="zh-CN"/>
        </w:rPr>
        <w:t>发布</w:t>
      </w:r>
      <w:r>
        <w:rPr>
          <w:rFonts w:hint="eastAsia" w:eastAsia="仿宋" w:cs="Times New Roman"/>
          <w:snapToGrid w:val="0"/>
          <w:sz w:val="32"/>
          <w:szCs w:val="32"/>
          <w:lang w:val="en-US" w:eastAsia="zh-CN"/>
        </w:rPr>
        <w:t>）</w:t>
      </w:r>
    </w:p>
    <w:p>
      <w:pPr>
        <w:keepNext w:val="0"/>
        <w:keepLines w:val="0"/>
        <w:pageBreakBefore w:val="0"/>
        <w:widowControl w:val="0"/>
        <w:kinsoku/>
        <w:wordWrap/>
        <w:overflowPunct w:val="0"/>
        <w:topLinePunct w:val="0"/>
        <w:autoSpaceDE/>
        <w:autoSpaceDN/>
        <w:bidi w:val="0"/>
        <w:adjustRightInd w:val="0"/>
        <w:snapToGrid w:val="0"/>
        <w:spacing w:after="0" w:line="550" w:lineRule="exact"/>
        <w:ind w:left="0" w:leftChars="0" w:firstLine="0" w:firstLineChars="0"/>
        <w:jc w:val="center"/>
        <w:textAlignment w:val="auto"/>
        <w:outlineLvl w:val="9"/>
        <w:rPr>
          <w:rFonts w:hint="default" w:ascii="Times New Roman" w:hAnsi="Times New Roman" w:eastAsia="方正小标宋_GBK" w:cs="Times New Roman"/>
          <w:sz w:val="44"/>
          <w:szCs w:val="44"/>
        </w:rPr>
      </w:pPr>
      <w:bookmarkStart w:id="3" w:name="_988455673"/>
      <w:bookmarkEnd w:id="3"/>
      <w:bookmarkStart w:id="4" w:name="_1081336172"/>
      <w:bookmarkEnd w:id="4"/>
      <w:bookmarkStart w:id="5" w:name="_988455645"/>
      <w:bookmarkEnd w:id="5"/>
      <w:bookmarkStart w:id="6" w:name="_1081335927"/>
      <w:bookmarkEnd w:id="6"/>
      <w:bookmarkStart w:id="7" w:name="_1081336878"/>
      <w:bookmarkEnd w:id="7"/>
      <w:bookmarkStart w:id="8" w:name="_988455626"/>
      <w:bookmarkEnd w:id="8"/>
      <w:bookmarkStart w:id="9" w:name="_988455212"/>
      <w:bookmarkEnd w:id="9"/>
      <w:bookmarkStart w:id="10" w:name="_1081336902"/>
      <w:bookmarkEnd w:id="10"/>
      <w:bookmarkStart w:id="11" w:name="_988455575"/>
      <w:bookmarkEnd w:id="11"/>
      <w:bookmarkStart w:id="12" w:name="_1081336779"/>
      <w:bookmarkEnd w:id="12"/>
      <w:bookmarkStart w:id="13" w:name="_988455157"/>
      <w:bookmarkEnd w:id="13"/>
      <w:bookmarkStart w:id="14" w:name="_1081336197"/>
      <w:bookmarkEnd w:id="14"/>
      <w:bookmarkStart w:id="15" w:name="_988455233"/>
      <w:bookmarkEnd w:id="15"/>
      <w:bookmarkStart w:id="16" w:name="_1081336852"/>
      <w:bookmarkEnd w:id="16"/>
      <w:bookmarkStart w:id="17" w:name="_1081336766"/>
      <w:bookmarkEnd w:id="17"/>
      <w:bookmarkStart w:id="18" w:name="_988455526"/>
      <w:bookmarkEnd w:id="18"/>
      <w:bookmarkStart w:id="19" w:name="_1081336936"/>
      <w:bookmarkEnd w:id="19"/>
      <w:bookmarkStart w:id="20" w:name="_988455599"/>
      <w:bookmarkEnd w:id="20"/>
      <w:bookmarkStart w:id="21" w:name="_988456248"/>
      <w:bookmarkEnd w:id="21"/>
    </w:p>
    <w:p>
      <w:pPr>
        <w:pStyle w:val="2"/>
        <w:rPr>
          <w:rFonts w:hint="default"/>
        </w:rPr>
      </w:pPr>
    </w:p>
    <w:p>
      <w:pPr>
        <w:keepNext w:val="0"/>
        <w:keepLines w:val="0"/>
        <w:pageBreakBefore w:val="0"/>
        <w:widowControl w:val="0"/>
        <w:kinsoku/>
        <w:wordWrap/>
        <w:overflowPunct w:val="0"/>
        <w:topLinePunct w:val="0"/>
        <w:autoSpaceDE/>
        <w:autoSpaceDN/>
        <w:bidi w:val="0"/>
        <w:adjustRightInd w:val="0"/>
        <w:snapToGrid w:val="0"/>
        <w:spacing w:after="0" w:line="550" w:lineRule="exact"/>
        <w:ind w:left="0" w:leftChars="0" w:firstLine="0" w:firstLineChars="0"/>
        <w:jc w:val="center"/>
        <w:textAlignment w:val="auto"/>
        <w:outlineLvl w:val="9"/>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宿迁市</w:t>
      </w:r>
      <w:r>
        <w:rPr>
          <w:rFonts w:hint="default" w:ascii="Times New Roman" w:hAnsi="Times New Roman" w:eastAsia="方正小标宋_GBK" w:cs="Times New Roman"/>
          <w:sz w:val="44"/>
          <w:szCs w:val="44"/>
          <w:lang w:val="en-US" w:eastAsia="zh-CN"/>
        </w:rPr>
        <w:t>小城市赋权</w:t>
      </w:r>
      <w:r>
        <w:rPr>
          <w:rFonts w:hint="default" w:ascii="Times New Roman" w:hAnsi="Times New Roman" w:eastAsia="方正小标宋_GBK" w:cs="Times New Roman"/>
          <w:sz w:val="44"/>
          <w:szCs w:val="44"/>
        </w:rPr>
        <w:t>工作方案</w:t>
      </w:r>
    </w:p>
    <w:p>
      <w:pPr>
        <w:keepNext w:val="0"/>
        <w:keepLines w:val="0"/>
        <w:pageBreakBefore w:val="0"/>
        <w:widowControl w:val="0"/>
        <w:kinsoku/>
        <w:wordWrap/>
        <w:overflowPunct w:val="0"/>
        <w:topLinePunct w:val="0"/>
        <w:autoSpaceDE/>
        <w:autoSpaceDN/>
        <w:bidi w:val="0"/>
        <w:adjustRightInd w:val="0"/>
        <w:snapToGrid w:val="0"/>
        <w:spacing w:after="0" w:line="550" w:lineRule="exact"/>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napToGrid w:val="0"/>
          <w:sz w:val="32"/>
          <w:szCs w:val="32"/>
          <w:lang w:val="en-US" w:eastAsia="zh-CN"/>
        </w:rPr>
      </w:pPr>
      <w:r>
        <w:rPr>
          <w:rFonts w:hint="eastAsia" w:ascii="方正仿宋_GBK" w:hAnsi="方正仿宋_GBK" w:eastAsia="方正仿宋_GBK" w:cs="方正仿宋_GBK"/>
          <w:snapToGrid w:val="0"/>
          <w:sz w:val="32"/>
          <w:szCs w:val="32"/>
          <w:lang w:val="en-US" w:eastAsia="zh-CN"/>
        </w:rPr>
        <w:t>为贯彻落实“四化”同步集成改革示范区建设工作部署，充分发挥小城市在“</w:t>
      </w:r>
      <w:r>
        <w:rPr>
          <w:rFonts w:hint="default" w:ascii="Times New Roman" w:hAnsi="Times New Roman" w:eastAsia="方正仿宋_GBK" w:cs="Times New Roman"/>
          <w:snapToGrid w:val="0"/>
          <w:sz w:val="32"/>
          <w:szCs w:val="32"/>
          <w:lang w:val="en-US" w:eastAsia="zh-CN"/>
        </w:rPr>
        <w:t>1129+N</w:t>
      </w:r>
      <w:r>
        <w:rPr>
          <w:rFonts w:hint="eastAsia" w:ascii="方正仿宋_GBK" w:hAnsi="方正仿宋_GBK" w:eastAsia="方正仿宋_GBK" w:cs="方正仿宋_GBK"/>
          <w:snapToGrid w:val="0"/>
          <w:sz w:val="32"/>
          <w:szCs w:val="32"/>
          <w:lang w:val="en-US" w:eastAsia="zh-CN"/>
        </w:rPr>
        <w:t>”城镇发展体系中的重要支撑作用，根据《关于进一步促进小城市建设发展的实施意见》文件精神，切实扩大小城市经济社会管理权限，经研究，决定对市委、市政府确定的9个小城市开展赋权工作，现提出如下工作方案。</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黑体_GBK" w:hAnsi="方正黑体_GBK" w:eastAsia="方正黑体_GBK" w:cs="方正黑体_GBK"/>
          <w:snapToGrid w:val="0"/>
          <w:sz w:val="32"/>
          <w:szCs w:val="32"/>
          <w:lang w:val="en-US" w:eastAsia="zh-CN"/>
        </w:rPr>
      </w:pPr>
      <w:r>
        <w:rPr>
          <w:rFonts w:hint="eastAsia" w:ascii="方正黑体_GBK" w:hAnsi="方正黑体_GBK" w:eastAsia="方正黑体_GBK" w:cs="方正黑体_GBK"/>
          <w:snapToGrid w:val="0"/>
          <w:sz w:val="32"/>
          <w:szCs w:val="32"/>
        </w:rPr>
        <w:t>一、</w:t>
      </w:r>
      <w:r>
        <w:rPr>
          <w:rFonts w:hint="eastAsia" w:ascii="方正黑体_GBK" w:hAnsi="方正黑体_GBK" w:eastAsia="方正黑体_GBK" w:cs="方正黑体_GBK"/>
          <w:snapToGrid w:val="0"/>
          <w:sz w:val="32"/>
          <w:szCs w:val="32"/>
          <w:lang w:val="en-US" w:eastAsia="zh-CN"/>
        </w:rPr>
        <w:t>目标要求</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rPr>
        <w:t>围绕简政放权、放管结合、优化服务的总要求，</w:t>
      </w:r>
      <w:r>
        <w:rPr>
          <w:rFonts w:hint="eastAsia" w:ascii="方正仿宋_GBK" w:hAnsi="方正仿宋_GBK" w:eastAsia="方正仿宋_GBK" w:cs="方正仿宋_GBK"/>
          <w:sz w:val="32"/>
          <w:szCs w:val="32"/>
          <w:lang w:val="en-US" w:eastAsia="zh-CN"/>
        </w:rPr>
        <w:t>将小城市迫切需要且能有效承接的市、县级管理权限依法依规赋予小城市，确保小城市尽快承接到位并认领实施，做到赋权事项领得到、接得住、管得好、有监督，不断提升小城市服务能级。构建符合小城市定位、适应城镇化发展需求的简约高效的政务服务体制。</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黑体_GBK" w:hAnsi="方正黑体_GBK" w:eastAsia="方正黑体_GBK" w:cs="方正黑体_GBK"/>
          <w:snapToGrid w:val="0"/>
          <w:sz w:val="32"/>
          <w:szCs w:val="32"/>
          <w:lang w:val="en-US" w:eastAsia="zh-CN"/>
        </w:rPr>
      </w:pPr>
      <w:r>
        <w:rPr>
          <w:rFonts w:hint="eastAsia" w:ascii="方正黑体_GBK" w:hAnsi="方正黑体_GBK" w:eastAsia="方正黑体_GBK" w:cs="方正黑体_GBK"/>
          <w:snapToGrid w:val="0"/>
          <w:sz w:val="32"/>
          <w:szCs w:val="32"/>
          <w:lang w:val="en-US" w:eastAsia="zh-CN"/>
        </w:rPr>
        <w:t>二、赋权范围和方式</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楷体_GBK" w:hAnsi="方正楷体_GBK" w:eastAsia="方正楷体_GBK" w:cs="方正楷体_GBK"/>
          <w:snapToGrid w:val="0"/>
          <w:sz w:val="32"/>
          <w:szCs w:val="32"/>
        </w:rPr>
        <w:t>（</w:t>
      </w:r>
      <w:r>
        <w:rPr>
          <w:rFonts w:hint="eastAsia" w:ascii="方正楷体_GBK" w:hAnsi="方正楷体_GBK" w:eastAsia="方正楷体_GBK" w:cs="方正楷体_GBK"/>
          <w:snapToGrid w:val="0"/>
          <w:sz w:val="32"/>
          <w:szCs w:val="32"/>
          <w:lang w:val="en-US" w:eastAsia="zh-CN"/>
        </w:rPr>
        <w:t>一</w:t>
      </w:r>
      <w:r>
        <w:rPr>
          <w:rFonts w:hint="eastAsia" w:ascii="方正楷体_GBK" w:hAnsi="方正楷体_GBK" w:eastAsia="方正楷体_GBK" w:cs="方正楷体_GBK"/>
          <w:snapToGrid w:val="0"/>
          <w:sz w:val="32"/>
          <w:szCs w:val="32"/>
        </w:rPr>
        <w:t>）赋权范围。</w:t>
      </w:r>
      <w:r>
        <w:rPr>
          <w:rFonts w:hint="eastAsia" w:ascii="方正仿宋_GBK" w:hAnsi="方正仿宋_GBK" w:eastAsia="方正仿宋_GBK" w:cs="方正仿宋_GBK"/>
          <w:sz w:val="32"/>
          <w:szCs w:val="32"/>
          <w:lang w:val="en-US" w:eastAsia="zh-CN"/>
        </w:rPr>
        <w:t>重点围绕产业发展、城镇建设、社会管理、公共服务等方面，将市、县（区）有关部门单位实施的政务服务事项，包括依申请办理的行政权力事项和公共服务事项下放至贤官镇、马厂镇、高墟镇、王集镇、新袁镇、双沟镇、界集镇、来龙镇、龙河镇9个小城市办理，其中行政权力事项42项、公共服务事项61项。</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楷体_GBK" w:hAnsi="方正楷体_GBK" w:eastAsia="方正楷体_GBK" w:cs="方正楷体_GBK"/>
          <w:snapToGrid w:val="0"/>
          <w:sz w:val="32"/>
          <w:szCs w:val="32"/>
        </w:rPr>
        <w:t>（</w:t>
      </w:r>
      <w:r>
        <w:rPr>
          <w:rFonts w:hint="eastAsia" w:ascii="方正楷体_GBK" w:hAnsi="方正楷体_GBK" w:eastAsia="方正楷体_GBK" w:cs="方正楷体_GBK"/>
          <w:snapToGrid w:val="0"/>
          <w:sz w:val="32"/>
          <w:szCs w:val="32"/>
          <w:lang w:val="en-US" w:eastAsia="zh-CN"/>
        </w:rPr>
        <w:t>二</w:t>
      </w:r>
      <w:r>
        <w:rPr>
          <w:rFonts w:hint="eastAsia" w:ascii="方正楷体_GBK" w:hAnsi="方正楷体_GBK" w:eastAsia="方正楷体_GBK" w:cs="方正楷体_GBK"/>
          <w:snapToGrid w:val="0"/>
          <w:sz w:val="32"/>
          <w:szCs w:val="32"/>
        </w:rPr>
        <w:t>）赋权方式。</w:t>
      </w:r>
      <w:r>
        <w:rPr>
          <w:rFonts w:hint="eastAsia" w:ascii="方正仿宋_GBK" w:hAnsi="方正仿宋_GBK" w:eastAsia="方正仿宋_GBK" w:cs="方正仿宋_GBK"/>
          <w:sz w:val="32"/>
          <w:szCs w:val="32"/>
          <w:lang w:val="en-US" w:eastAsia="zh-CN"/>
        </w:rPr>
        <w:t>根据行政权力事项、公共服务事项不同性质，此次赋权综合运用直接赋权、委托行权、受理初审权下放等赋权方式。</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 直接赋权。纳入</w:t>
      </w:r>
      <w:r>
        <w:rPr>
          <w:rFonts w:hint="eastAsia" w:ascii="方正仿宋_GBK" w:hAnsi="方正仿宋_GBK" w:eastAsia="方正仿宋_GBK" w:cs="方正仿宋_GBK"/>
          <w:sz w:val="32"/>
          <w:szCs w:val="32"/>
          <w:lang w:bidi="ar-SA"/>
        </w:rPr>
        <w:t>《赋予乡镇（街道）经济社会管理权限指导目录》</w:t>
      </w:r>
      <w:r>
        <w:rPr>
          <w:rFonts w:hint="eastAsia" w:ascii="方正仿宋_GBK" w:hAnsi="方正仿宋_GBK" w:eastAsia="方正仿宋_GBK" w:cs="方正仿宋_GBK"/>
          <w:sz w:val="32"/>
          <w:szCs w:val="32"/>
          <w:lang w:val="en-US" w:eastAsia="zh-CN"/>
        </w:rPr>
        <w:t>（苏编办发〔2020〕12号）的事项，以及法律、法规明确可以由乡镇（街道）实施的事项，可直接交由小城市所在地政府及其所属机构实施。</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 委托行权。纳入赋权清单中的事项，依照法律、法规、规章的规定，可以委托乡镇（街道）实施，且基层实施更为便利、符合委托要求的，依法以委托方式下放，小城市所在地政府及其所属部门以委托部门名义行使。</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 受理初审权下放。法律、法规明确规定不能授权或委托的事项，采取前移服务窗口的方式，在小城市所在地便民服务中心设立专门受理窗口，将受理初审权与审批权适当分离，把受理初审权下放至小城市所在地政府及其所属机构。</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黑体_GBK" w:hAnsi="方正黑体_GBK" w:eastAsia="方正黑体_GBK" w:cs="方正黑体_GBK"/>
          <w:snapToGrid w:val="0"/>
          <w:sz w:val="32"/>
          <w:szCs w:val="32"/>
          <w:lang w:val="en-US" w:eastAsia="zh-CN"/>
        </w:rPr>
      </w:pPr>
      <w:r>
        <w:rPr>
          <w:rFonts w:hint="eastAsia" w:ascii="方正黑体_GBK" w:hAnsi="方正黑体_GBK" w:eastAsia="方正黑体_GBK" w:cs="方正黑体_GBK"/>
          <w:snapToGrid w:val="0"/>
          <w:sz w:val="32"/>
          <w:szCs w:val="32"/>
          <w:lang w:val="en-US" w:eastAsia="zh-CN"/>
        </w:rPr>
        <w:t>三、运行机制</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对于赋权清单中的事项，全部纳入小城市便民服务中心统一运行，鼓励有条件的小城市探索成立行政审批局或纳入县（区）政务服务分中心一体化管理等多种方式，做好下放事项的承接办理。</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楷体_GBK" w:hAnsi="方正楷体_GBK" w:eastAsia="方正楷体_GBK" w:cs="方正楷体_GBK"/>
          <w:snapToGrid w:val="0"/>
          <w:sz w:val="32"/>
          <w:szCs w:val="32"/>
          <w:lang w:val="en-US" w:eastAsia="zh-CN"/>
        </w:rPr>
      </w:pPr>
      <w:r>
        <w:rPr>
          <w:rFonts w:hint="eastAsia" w:ascii="方正楷体_GBK" w:hAnsi="方正楷体_GBK" w:eastAsia="方正楷体_GBK" w:cs="方正楷体_GBK"/>
          <w:snapToGrid w:val="0"/>
          <w:sz w:val="32"/>
          <w:szCs w:val="32"/>
          <w:lang w:val="en-US" w:eastAsia="zh-CN"/>
        </w:rPr>
        <w:t>（一）直接赋权事项运行方式</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 按照办事类型，大力推行无差别综窗办理，实行“前台综合受理、后台分类办理、统一窗口出件”。企业和群众原则上只需跑一个办事窗口，受理之后内部流转完成，实现“进一个门、到一个窗、办多家事”。</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 对于赋权事项，原则上授予窗口直接审批权，实行一般性事务个人审批负责制，对不需要审查核验、集体讨论、专家论证、听证等的审批事项在窗口受理后直接办结。</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 涉及审查核验、集体讨论、专家论证、听证等事项由小城市所在地政府组织开展，赋权单位提供业务和技术支持。</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 原则上具体审批服务形成的档案资料由小城市所在地政府保管。</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楷体_GBK" w:hAnsi="方正楷体_GBK" w:eastAsia="方正楷体_GBK" w:cs="方正楷体_GBK"/>
          <w:snapToGrid w:val="0"/>
          <w:sz w:val="32"/>
          <w:szCs w:val="32"/>
          <w:lang w:val="en-US" w:eastAsia="zh-CN"/>
        </w:rPr>
      </w:pPr>
      <w:r>
        <w:rPr>
          <w:rFonts w:hint="eastAsia" w:ascii="方正楷体_GBK" w:hAnsi="方正楷体_GBK" w:eastAsia="方正楷体_GBK" w:cs="方正楷体_GBK"/>
          <w:snapToGrid w:val="0"/>
          <w:sz w:val="32"/>
          <w:szCs w:val="32"/>
          <w:lang w:val="en-US" w:eastAsia="zh-CN"/>
        </w:rPr>
        <w:t>（二）委托行权事项运行方式</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 委托事项应签订委托授权书，对委托方和小城市所在地政府的职责、权限等进行明确。</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 委托方应采取授予行政公章、审批专用章或印有公章的空白制式证照（批准文件）等多种方法，保障小城市所在地政府有序开展审批服务。</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 涉及审查核验、集体讨论、专家论证、听证等事项，由委托方牵头开展，小城市所在地政府配合。</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 审批服务形成的档案资料由小城市所在地政府暂时保管，按委托方要求及时移交相应部门归档。</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楷体_GBK" w:hAnsi="方正楷体_GBK" w:eastAsia="方正楷体_GBK" w:cs="方正楷体_GBK"/>
          <w:snapToGrid w:val="0"/>
          <w:sz w:val="32"/>
          <w:szCs w:val="32"/>
          <w:lang w:val="en-US" w:eastAsia="zh-CN"/>
        </w:rPr>
      </w:pPr>
      <w:r>
        <w:rPr>
          <w:rFonts w:hint="eastAsia" w:ascii="方正楷体_GBK" w:hAnsi="方正楷体_GBK" w:eastAsia="方正楷体_GBK" w:cs="方正楷体_GBK"/>
          <w:snapToGrid w:val="0"/>
          <w:sz w:val="32"/>
          <w:szCs w:val="32"/>
          <w:lang w:val="en-US" w:eastAsia="zh-CN"/>
        </w:rPr>
        <w:t>（三）受理初审权下放事项运行方式</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 受理窗口对申请材料进行初审，符合申请条件的，通过“互联网+（政务）协同”系统、政务服务网、部门条线审批系统等方式上报相应审批部门。</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 授权部门按承诺时限进行审批，审批结果按照最大化便民原则，由授权部门直接邮寄至服务对象或由小城市所在地便民服务中心扎口出件。</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 涉及审查核验、集体讨论、专家论证、听证等事项，由授权部门牵头开展，小城市所在地政府配合。</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 审批服务形成的档案资料由小城市所在地政府暂时保管，按授权方要求及时移交相应部门归档。</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黑体_GBK" w:hAnsi="方正黑体_GBK" w:eastAsia="方正黑体_GBK" w:cs="方正黑体_GBK"/>
          <w:snapToGrid w:val="0"/>
          <w:sz w:val="32"/>
          <w:szCs w:val="32"/>
          <w:lang w:val="en-US" w:eastAsia="zh-CN"/>
        </w:rPr>
      </w:pPr>
      <w:r>
        <w:rPr>
          <w:rFonts w:hint="eastAsia" w:ascii="方正黑体_GBK" w:hAnsi="方正黑体_GBK" w:eastAsia="方正黑体_GBK" w:cs="方正黑体_GBK"/>
          <w:snapToGrid w:val="0"/>
          <w:sz w:val="32"/>
          <w:szCs w:val="32"/>
          <w:lang w:val="en-US" w:eastAsia="zh-CN"/>
        </w:rPr>
        <w:t>四、责任分工</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楷体_GBK" w:hAnsi="方正楷体_GBK" w:eastAsia="方正楷体_GBK" w:cs="方正楷体_GBK"/>
          <w:snapToGrid w:val="0"/>
          <w:sz w:val="32"/>
          <w:szCs w:val="32"/>
          <w:lang w:val="en-US" w:eastAsia="zh-CN"/>
        </w:rPr>
      </w:pPr>
      <w:r>
        <w:rPr>
          <w:rFonts w:hint="eastAsia" w:ascii="方正楷体_GBK" w:hAnsi="方正楷体_GBK" w:eastAsia="方正楷体_GBK" w:cs="方正楷体_GBK"/>
          <w:snapToGrid w:val="0"/>
          <w:sz w:val="32"/>
          <w:szCs w:val="32"/>
          <w:lang w:val="en-US" w:eastAsia="zh-CN"/>
        </w:rPr>
        <w:t>（一）市、县（区）主管部门工作职责</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 市级主管部门统筹做好本部门赋权指导工作，属市、县（区）同权的事项由市级主管部门牵头，会同县（区）主管部门、小城市，就赋权内容、工作保障、职责划分等形成具体工作方案，签订赋权协议；属县（区）行权的事项由县级主管部门牵头，会小城市形成具体工作方案，签订赋权协议。赋权方案和赋权协议报市协调办备案。</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 通过专题培训、现场指导、案例示范等方式做好对小城市承接人员的业务培训、辅导工作，特别是做好上级部门</w:t>
      </w:r>
      <w:r>
        <w:rPr>
          <w:rFonts w:hint="eastAsia" w:ascii="方正仿宋_GBK" w:hAnsi="方正仿宋_GBK" w:eastAsia="方正仿宋_GBK" w:cs="方正仿宋_GBK"/>
          <w:bCs/>
          <w:kern w:val="2"/>
          <w:sz w:val="32"/>
          <w:szCs w:val="32"/>
          <w:lang w:val="en-US" w:eastAsia="zh-CN" w:bidi="ar-SA"/>
        </w:rPr>
        <w:t>最新文件、最新政策、最新要求的解读传达</w:t>
      </w:r>
      <w:r>
        <w:rPr>
          <w:rFonts w:hint="eastAsia" w:ascii="方正仿宋_GBK" w:hAnsi="方正仿宋_GBK" w:eastAsia="方正仿宋_GBK" w:cs="方正仿宋_GBK"/>
          <w:sz w:val="32"/>
          <w:szCs w:val="32"/>
          <w:lang w:val="en-US" w:eastAsia="zh-CN"/>
        </w:rPr>
        <w:t>。</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 做好赋权事项的系统对接、端口开放、账号开设等工作。</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 做好本部门赋权事项审批工作的技术支持、政策支撑以及日常监督管理工作。</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5. 对于赋权事项审批服务过程中出现质疑投诉、行政复议、行政诉讼的，根据职责做好相应处理工作。</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6. 做好小城市所在地政府移交的本部门赋权事项审批服务档案资料的归档工作。</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7. 职责范围内的其他相关工作。</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楷体_GBK" w:hAnsi="方正楷体_GBK" w:eastAsia="方正楷体_GBK" w:cs="方正楷体_GBK"/>
          <w:snapToGrid w:val="0"/>
          <w:sz w:val="32"/>
          <w:szCs w:val="32"/>
          <w:lang w:val="en-US" w:eastAsia="zh-CN"/>
        </w:rPr>
      </w:pPr>
      <w:r>
        <w:rPr>
          <w:rFonts w:hint="eastAsia" w:ascii="方正楷体_GBK" w:hAnsi="方正楷体_GBK" w:eastAsia="方正楷体_GBK" w:cs="方正楷体_GBK"/>
          <w:snapToGrid w:val="0"/>
          <w:sz w:val="32"/>
          <w:szCs w:val="32"/>
          <w:lang w:val="en-US" w:eastAsia="zh-CN"/>
        </w:rPr>
        <w:t>（二）县（区）人民政府工作职责</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 加强本地区小城市便民服务中心建设，在机构、编制、经费等方面予以保障。</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 强化“三集中、三到位”，推动本次赋权事项纳入便民服务中心集中办理。</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 统筹推动好赋权事项的落地落实，厘清所属部门与小城市所在地政府的审批和监管职责边界，解决赋权过程出现的系列问题。</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 职责范围内的其他工作。</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楷体_GBK" w:hAnsi="方正楷体_GBK" w:eastAsia="方正楷体_GBK" w:cs="方正楷体_GBK"/>
          <w:snapToGrid w:val="0"/>
          <w:sz w:val="32"/>
          <w:szCs w:val="32"/>
          <w:lang w:val="en-US" w:eastAsia="zh-CN"/>
        </w:rPr>
      </w:pPr>
      <w:r>
        <w:rPr>
          <w:rFonts w:hint="eastAsia" w:ascii="方正楷体_GBK" w:hAnsi="方正楷体_GBK" w:eastAsia="方正楷体_GBK" w:cs="方正楷体_GBK"/>
          <w:snapToGrid w:val="0"/>
          <w:sz w:val="32"/>
          <w:szCs w:val="32"/>
          <w:lang w:val="en-US" w:eastAsia="zh-CN"/>
        </w:rPr>
        <w:t>（三）小城市所在地政府工作职责</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 做好小城市便民服务中心的配套保障，确保便民服务中心达到示范标准。</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 全面做好赋权事项的承接工作，在服务窗口、审批人员、设施设备等方面加强能力建设，确保下放事项有序承接。</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 做好承接事项、申报材料、审批流程、办结时限等内容公开，做好事项常态化办理。</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 做好窗口工作人员培训和管理。</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5. 根据职责做好赋权事项审批服务过程中出现的质疑投诉、行政复议、行政诉讼等问题的处理工作。</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6. 做好审批服务事项档案资料的整理、保管与移交工作。</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7. 做好职责范围内的其他工作。</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黑体_GBK" w:hAnsi="方正黑体_GBK" w:eastAsia="方正黑体_GBK" w:cs="方正黑体_GBK"/>
          <w:snapToGrid w:val="0"/>
          <w:sz w:val="32"/>
          <w:szCs w:val="32"/>
          <w:lang w:val="en-US" w:eastAsia="zh-CN"/>
        </w:rPr>
      </w:pPr>
      <w:r>
        <w:rPr>
          <w:rFonts w:hint="eastAsia" w:ascii="方正黑体_GBK" w:hAnsi="方正黑体_GBK" w:eastAsia="方正黑体_GBK" w:cs="方正黑体_GBK"/>
          <w:snapToGrid w:val="0"/>
          <w:sz w:val="32"/>
          <w:szCs w:val="32"/>
          <w:lang w:val="en-US" w:eastAsia="zh-CN"/>
        </w:rPr>
        <w:t>五、推进步骤</w:t>
      </w:r>
    </w:p>
    <w:p>
      <w:pPr>
        <w:keepNext w:val="0"/>
        <w:keepLines w:val="0"/>
        <w:pageBreakBefore w:val="0"/>
        <w:widowControl w:val="0"/>
        <w:kinsoku/>
        <w:wordWrap/>
        <w:overflowPunct w:val="0"/>
        <w:topLinePunct w:val="0"/>
        <w:autoSpaceDE/>
        <w:autoSpaceDN/>
        <w:bidi w:val="0"/>
        <w:adjustRightInd w:val="0"/>
        <w:snapToGrid w:val="0"/>
        <w:spacing w:after="0" w:line="580" w:lineRule="exact"/>
        <w:ind w:left="0" w:leftChars="0"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楷体_GBK" w:hAnsi="方正楷体_GBK" w:eastAsia="方正楷体_GBK" w:cs="方正楷体_GBK"/>
          <w:snapToGrid w:val="0"/>
          <w:sz w:val="32"/>
          <w:szCs w:val="32"/>
          <w:lang w:val="en-US" w:eastAsia="zh-CN"/>
        </w:rPr>
        <w:t>（一）公布清单阶段（2022年12月底前）。</w:t>
      </w:r>
      <w:r>
        <w:rPr>
          <w:rFonts w:hint="eastAsia" w:ascii="方正仿宋_GBK" w:hAnsi="方正仿宋_GBK" w:eastAsia="方正仿宋_GBK" w:cs="方正仿宋_GBK"/>
          <w:sz w:val="32"/>
          <w:szCs w:val="32"/>
          <w:lang w:val="en-US" w:eastAsia="zh-CN"/>
        </w:rPr>
        <w:t>工作方案印发后，赋权部门会同小城市所在地政府逐项推进赋权工作，做好系统、账号的开设，保障审批服务事项下放到位。</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楷体_GBK" w:hAnsi="方正楷体_GBK" w:eastAsia="方正楷体_GBK" w:cs="方正楷体_GBK"/>
          <w:snapToGrid w:val="0"/>
          <w:sz w:val="32"/>
          <w:szCs w:val="32"/>
          <w:lang w:val="en-US" w:eastAsia="zh-CN"/>
        </w:rPr>
        <w:t>（二）建章立制阶段（2023年1月底前）。</w:t>
      </w:r>
      <w:r>
        <w:rPr>
          <w:rFonts w:hint="eastAsia" w:ascii="方正仿宋_GBK" w:hAnsi="方正仿宋_GBK" w:eastAsia="方正仿宋_GBK" w:cs="方正仿宋_GBK"/>
          <w:sz w:val="32"/>
          <w:szCs w:val="32"/>
          <w:lang w:val="en-US" w:eastAsia="zh-CN"/>
        </w:rPr>
        <w:t>赋权部门制定具体工作方案，明确推进举措，建立事项办理标准和有效的评估、监管等制度，推动小城市承接好赋权事项。</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楷体_GBK" w:hAnsi="方正楷体_GBK" w:eastAsia="方正楷体_GBK" w:cs="方正楷体_GBK"/>
          <w:snapToGrid w:val="0"/>
          <w:sz w:val="32"/>
          <w:szCs w:val="32"/>
          <w:lang w:val="en-US" w:eastAsia="zh-CN"/>
        </w:rPr>
        <w:t>（三）全面实施阶段（2023年2月底前）。</w:t>
      </w:r>
      <w:r>
        <w:rPr>
          <w:rFonts w:hint="eastAsia" w:ascii="方正仿宋_GBK" w:hAnsi="方正仿宋_GBK" w:eastAsia="方正仿宋_GBK" w:cs="方正仿宋_GBK"/>
          <w:sz w:val="32"/>
          <w:szCs w:val="32"/>
          <w:lang w:val="en-US" w:eastAsia="zh-CN"/>
        </w:rPr>
        <w:t>将赋权事项纳入小城市便民服务中心运行，常态化开展审批服务。</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楷体_GBK" w:hAnsi="方正楷体_GBK" w:eastAsia="方正楷体_GBK" w:cs="方正楷体_GBK"/>
          <w:snapToGrid w:val="0"/>
          <w:sz w:val="32"/>
          <w:szCs w:val="32"/>
          <w:lang w:val="en-US" w:eastAsia="zh-CN"/>
        </w:rPr>
        <w:t>（四）评价总结阶段（2023年4月底前）。</w:t>
      </w:r>
      <w:r>
        <w:rPr>
          <w:rFonts w:hint="eastAsia" w:ascii="方正仿宋_GBK" w:hAnsi="方正仿宋_GBK" w:eastAsia="方正仿宋_GBK" w:cs="方正仿宋_GBK"/>
          <w:sz w:val="32"/>
          <w:szCs w:val="32"/>
          <w:lang w:val="en-US" w:eastAsia="zh-CN"/>
        </w:rPr>
        <w:t>各地、各部门要加强风险防控，充分估计改革在短期内给企业群众办事带来的不便和问题，及时收集反馈各方意见建议，回应市场主体的关切和需求。组织对各地区承接情况开展督查，对前期工作进行总结评估，及时推广各地各部门好的经验做法，推进小城市赋权工作不断优化。</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黑体_GBK" w:hAnsi="方正黑体_GBK" w:eastAsia="方正黑体_GBK" w:cs="方正黑体_GBK"/>
          <w:snapToGrid w:val="0"/>
          <w:sz w:val="32"/>
          <w:szCs w:val="32"/>
          <w:lang w:val="en-US" w:eastAsia="zh-CN"/>
        </w:rPr>
      </w:pPr>
      <w:r>
        <w:rPr>
          <w:rFonts w:hint="eastAsia" w:ascii="方正黑体_GBK" w:hAnsi="方正黑体_GBK" w:eastAsia="方正黑体_GBK" w:cs="方正黑体_GBK"/>
          <w:snapToGrid w:val="0"/>
          <w:sz w:val="32"/>
          <w:szCs w:val="32"/>
          <w:lang w:val="en-US" w:eastAsia="zh-CN"/>
        </w:rPr>
        <w:t>六、保障措施</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楷体_GBK" w:hAnsi="方正楷体_GBK" w:eastAsia="方正楷体_GBK" w:cs="方正楷体_GBK"/>
          <w:snapToGrid w:val="0"/>
          <w:sz w:val="32"/>
          <w:szCs w:val="32"/>
          <w:lang w:val="en-US" w:eastAsia="zh-CN"/>
        </w:rPr>
        <w:t>（一）加强组织领导。</w:t>
      </w:r>
      <w:r>
        <w:rPr>
          <w:rFonts w:hint="eastAsia" w:ascii="方正仿宋_GBK" w:hAnsi="方正仿宋_GBK" w:eastAsia="方正仿宋_GBK" w:cs="方正仿宋_GBK"/>
          <w:sz w:val="32"/>
          <w:szCs w:val="32"/>
          <w:lang w:val="en-US" w:eastAsia="zh-CN"/>
        </w:rPr>
        <w:t>小城市赋权工作由市政府推进政府职能转变和“放管服”改革协调小组负责统筹推进，具体推进工作由各县区人民政府承担，市协调办加强赋权工作指导、协调与督查。赋权事项涉及部门要明确分管领导、责任处室和具体责任人。小城市要就承接工作</w:t>
      </w:r>
      <w:r>
        <w:rPr>
          <w:rFonts w:hint="eastAsia" w:ascii="方正仿宋_GBK" w:hAnsi="方正仿宋_GBK" w:eastAsia="方正仿宋_GBK" w:cs="方正仿宋_GBK"/>
          <w:color w:val="auto"/>
          <w:sz w:val="32"/>
          <w:szCs w:val="32"/>
        </w:rPr>
        <w:t>细化举措、完善责任清单，推动</w:t>
      </w:r>
      <w:r>
        <w:rPr>
          <w:rFonts w:hint="eastAsia" w:ascii="方正仿宋_GBK" w:hAnsi="方正仿宋_GBK" w:eastAsia="方正仿宋_GBK" w:cs="方正仿宋_GBK"/>
          <w:color w:val="auto"/>
          <w:sz w:val="32"/>
          <w:szCs w:val="32"/>
          <w:lang w:val="en-US" w:eastAsia="zh-CN"/>
        </w:rPr>
        <w:t>赋权事项</w:t>
      </w:r>
      <w:r>
        <w:rPr>
          <w:rFonts w:hint="eastAsia" w:ascii="方正仿宋_GBK" w:hAnsi="方正仿宋_GBK" w:eastAsia="方正仿宋_GBK" w:cs="方正仿宋_GBK"/>
          <w:color w:val="auto"/>
          <w:sz w:val="32"/>
          <w:szCs w:val="32"/>
        </w:rPr>
        <w:t>落地落实。</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楷体_GBK" w:hAnsi="方正楷体_GBK" w:eastAsia="方正楷体_GBK" w:cs="方正楷体_GBK"/>
          <w:snapToGrid w:val="0"/>
          <w:sz w:val="32"/>
          <w:szCs w:val="32"/>
          <w:lang w:val="en-US" w:eastAsia="zh-CN"/>
        </w:rPr>
        <w:t>（二）做好工作衔接。</w:t>
      </w:r>
      <w:r>
        <w:rPr>
          <w:rFonts w:hint="eastAsia" w:ascii="方正仿宋_GBK" w:hAnsi="方正仿宋_GBK" w:eastAsia="方正仿宋_GBK" w:cs="方正仿宋_GBK"/>
          <w:color w:val="auto"/>
          <w:sz w:val="32"/>
          <w:szCs w:val="32"/>
          <w:lang w:val="en-US" w:eastAsia="zh-CN"/>
        </w:rPr>
        <w:t>赋权部门不得以事项已下放为由，停止审批服务，</w:t>
      </w:r>
      <w:r>
        <w:rPr>
          <w:rFonts w:hint="eastAsia" w:ascii="方正仿宋_GBK" w:hAnsi="方正仿宋_GBK" w:eastAsia="方正仿宋_GBK" w:cs="方正仿宋_GBK"/>
          <w:sz w:val="32"/>
          <w:szCs w:val="32"/>
          <w:lang w:val="en-US" w:eastAsia="zh-CN"/>
        </w:rPr>
        <w:t>实现企业群众就近办理。全面实施阶段结束后，设置两个月的过渡期，对小城市所在地政府暂时不具备承接能力的事项，由赋权单位帮助指导整改，提高其承接能力，过渡期结束后，交由小城市所在地政府行使。</w:t>
      </w:r>
    </w:p>
    <w:p>
      <w:pPr>
        <w:keepNext w:val="0"/>
        <w:keepLines w:val="0"/>
        <w:pageBreakBefore w:val="0"/>
        <w:widowControl w:val="0"/>
        <w:kinsoku/>
        <w:wordWrap/>
        <w:overflowPunct w:val="0"/>
        <w:topLinePunct w:val="0"/>
        <w:autoSpaceDE/>
        <w:autoSpaceDN/>
        <w:bidi w:val="0"/>
        <w:adjustRightInd w:val="0"/>
        <w:snapToGrid w:val="0"/>
        <w:spacing w:after="0" w:line="580" w:lineRule="exact"/>
        <w:ind w:firstLine="640" w:firstLineChars="200"/>
        <w:textAlignment w:val="auto"/>
        <w:outlineLvl w:val="9"/>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snapToGrid w:val="0"/>
          <w:sz w:val="32"/>
          <w:szCs w:val="32"/>
          <w:lang w:val="en-US" w:eastAsia="zh-CN"/>
        </w:rPr>
        <w:t>（三）加强工作宣传。</w:t>
      </w:r>
      <w:r>
        <w:rPr>
          <w:rFonts w:hint="eastAsia" w:ascii="方正仿宋_GBK" w:hAnsi="方正仿宋_GBK" w:eastAsia="方正仿宋_GBK" w:cs="方正仿宋_GBK"/>
          <w:sz w:val="32"/>
          <w:szCs w:val="32"/>
          <w:lang w:val="en-US" w:eastAsia="zh-CN"/>
        </w:rPr>
        <w:t>要加大宣传力度和广度，深化对政策和文件的宣传和解读，提高社会知晓度和参与度，让各方充分了解改革的目的和意义，促进社会各方对此项工作的理解和支持，形成改革的良好氛围。</w:t>
      </w:r>
    </w:p>
    <w:p>
      <w:pPr>
        <w:keepNext w:val="0"/>
        <w:keepLines w:val="0"/>
        <w:pageBreakBefore w:val="0"/>
        <w:widowControl/>
        <w:kinsoku/>
        <w:wordWrap/>
        <w:overflowPunct/>
        <w:topLinePunct w:val="0"/>
        <w:autoSpaceDE/>
        <w:autoSpaceDN/>
        <w:bidi w:val="0"/>
        <w:adjustRightInd w:val="0"/>
        <w:snapToGrid w:val="0"/>
        <w:spacing w:after="0" w:line="560" w:lineRule="exact"/>
        <w:ind w:firstLine="640" w:firstLineChars="200"/>
        <w:textAlignment w:val="auto"/>
        <w:outlineLvl w:val="9"/>
        <w:rPr>
          <w:rFonts w:hint="default" w:ascii="Times New Roman" w:hAnsi="Times New Roman" w:eastAsia="方正仿宋_GBK" w:cs="Times New Roman"/>
          <w:sz w:val="32"/>
          <w:szCs w:val="32"/>
          <w:lang w:val="en-US" w:eastAsia="zh-CN"/>
        </w:rPr>
      </w:pPr>
    </w:p>
    <w:p>
      <w:pPr>
        <w:keepNext w:val="0"/>
        <w:keepLines w:val="0"/>
        <w:pageBreakBefore w:val="0"/>
        <w:widowControl/>
        <w:kinsoku/>
        <w:wordWrap/>
        <w:overflowPunct/>
        <w:topLinePunct w:val="0"/>
        <w:autoSpaceDE/>
        <w:autoSpaceDN/>
        <w:bidi w:val="0"/>
        <w:adjustRightInd w:val="0"/>
        <w:snapToGrid w:val="0"/>
        <w:spacing w:after="0" w:line="560" w:lineRule="exact"/>
        <w:ind w:firstLine="640" w:firstLineChars="200"/>
        <w:textAlignment w:val="auto"/>
        <w:outlineLvl w:val="9"/>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附件：宿迁市小城市赋权事项清单</w:t>
      </w:r>
    </w:p>
    <w:p>
      <w:pPr>
        <w:pStyle w:val="14"/>
        <w:rPr>
          <w:rFonts w:hint="eastAsia"/>
          <w:lang w:val="en-US" w:eastAsia="zh-CN"/>
        </w:rPr>
        <w:sectPr>
          <w:headerReference r:id="rId3" w:type="default"/>
          <w:footerReference r:id="rId4" w:type="default"/>
          <w:pgSz w:w="11906" w:h="16838"/>
          <w:pgMar w:top="2098" w:right="1531" w:bottom="1928" w:left="1531" w:header="851" w:footer="1474" w:gutter="0"/>
          <w:cols w:space="0" w:num="1"/>
          <w:rtlGutter w:val="0"/>
          <w:docGrid w:type="lines" w:linePitch="312" w:charSpace="0"/>
        </w:sectPr>
      </w:pPr>
    </w:p>
    <w:p>
      <w:pPr>
        <w:widowControl w:val="0"/>
        <w:adjustRightInd/>
        <w:snapToGrid/>
        <w:spacing w:after="0" w:line="420" w:lineRule="exact"/>
        <w:ind w:left="0" w:leftChars="0" w:right="210" w:rightChars="100" w:firstLine="0" w:firstLineChars="0"/>
        <w:jc w:val="left"/>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附件</w:t>
      </w:r>
    </w:p>
    <w:p>
      <w:pPr>
        <w:keepNext w:val="0"/>
        <w:keepLines w:val="0"/>
        <w:pageBreakBefore w:val="0"/>
        <w:widowControl w:val="0"/>
        <w:kinsoku/>
        <w:wordWrap/>
        <w:overflowPunct w:val="0"/>
        <w:topLinePunct w:val="0"/>
        <w:autoSpaceDE/>
        <w:autoSpaceDN/>
        <w:bidi w:val="0"/>
        <w:adjustRightInd/>
        <w:snapToGrid/>
        <w:spacing w:after="0" w:line="560" w:lineRule="exact"/>
        <w:ind w:left="0" w:leftChars="0" w:right="0" w:rightChars="0" w:firstLine="0"/>
        <w:jc w:val="center"/>
        <w:textAlignment w:val="auto"/>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宿迁市小城市赋权事项清单</w:t>
      </w:r>
    </w:p>
    <w:p>
      <w:pPr>
        <w:keepNext w:val="0"/>
        <w:keepLines w:val="0"/>
        <w:pageBreakBefore w:val="0"/>
        <w:widowControl w:val="0"/>
        <w:kinsoku/>
        <w:wordWrap/>
        <w:overflowPunct/>
        <w:topLinePunct w:val="0"/>
        <w:autoSpaceDE/>
        <w:autoSpaceDN/>
        <w:bidi w:val="0"/>
        <w:adjustRightInd/>
        <w:snapToGrid/>
        <w:spacing w:after="0" w:line="560" w:lineRule="exact"/>
        <w:ind w:left="210" w:leftChars="100" w:right="210" w:rightChars="100"/>
        <w:jc w:val="left"/>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一、行政权力事项清单（42项）</w:t>
      </w:r>
    </w:p>
    <w:tbl>
      <w:tblPr>
        <w:tblStyle w:val="15"/>
        <w:tblW w:w="1524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23" w:type="dxa"/>
          <w:bottom w:w="0" w:type="dxa"/>
          <w:right w:w="23" w:type="dxa"/>
        </w:tblCellMar>
      </w:tblPr>
      <w:tblGrid>
        <w:gridCol w:w="426"/>
        <w:gridCol w:w="2601"/>
        <w:gridCol w:w="1185"/>
        <w:gridCol w:w="5835"/>
        <w:gridCol w:w="1179"/>
        <w:gridCol w:w="1339"/>
        <w:gridCol w:w="1230"/>
        <w:gridCol w:w="144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20" w:hRule="atLeast"/>
          <w:tblHeader/>
          <w:jc w:val="center"/>
        </w:trPr>
        <w:tc>
          <w:tcPr>
            <w:tcW w:w="42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黑体_GBK" w:hAnsi="方正黑体_GBK" w:eastAsia="方正黑体_GBK" w:cs="方正黑体_GBK"/>
                <w:snapToGrid w:val="0"/>
                <w:color w:val="000000"/>
                <w:sz w:val="21"/>
                <w:szCs w:val="21"/>
                <w:lang w:val="en-US" w:eastAsia="zh-CN" w:bidi="ar-SA"/>
              </w:rPr>
              <w:t>序号</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000000"/>
                <w:sz w:val="21"/>
                <w:szCs w:val="21"/>
                <w:lang w:bidi="ar-SA"/>
              </w:rPr>
            </w:pPr>
            <w:r>
              <w:rPr>
                <w:rFonts w:hint="eastAsia" w:ascii="方正黑体_GBK" w:hAnsi="方正黑体_GBK" w:eastAsia="方正黑体_GBK" w:cs="方正黑体_GBK"/>
                <w:snapToGrid w:val="0"/>
                <w:color w:val="000000"/>
                <w:sz w:val="21"/>
                <w:szCs w:val="21"/>
                <w:lang w:val="en-US" w:eastAsia="zh-CN" w:bidi="ar-SA"/>
              </w:rPr>
              <w:t>事项名称</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000000"/>
                <w:sz w:val="21"/>
                <w:szCs w:val="21"/>
                <w:lang w:bidi="ar-SA"/>
              </w:rPr>
            </w:pPr>
            <w:r>
              <w:rPr>
                <w:rFonts w:hint="eastAsia" w:ascii="方正黑体_GBK" w:hAnsi="方正黑体_GBK" w:eastAsia="方正黑体_GBK" w:cs="方正黑体_GBK"/>
                <w:snapToGrid w:val="0"/>
                <w:color w:val="000000"/>
                <w:sz w:val="21"/>
                <w:szCs w:val="21"/>
                <w:lang w:val="en-US" w:eastAsia="zh-CN" w:bidi="ar-SA"/>
              </w:rPr>
              <w:t>权限类型</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000000"/>
                <w:sz w:val="21"/>
                <w:szCs w:val="21"/>
                <w:lang w:bidi="ar-SA"/>
              </w:rPr>
            </w:pPr>
            <w:r>
              <w:rPr>
                <w:rFonts w:hint="eastAsia" w:ascii="方正黑体_GBK" w:hAnsi="方正黑体_GBK" w:eastAsia="方正黑体_GBK" w:cs="方正黑体_GBK"/>
                <w:snapToGrid w:val="0"/>
                <w:color w:val="000000"/>
                <w:sz w:val="21"/>
                <w:szCs w:val="21"/>
                <w:lang w:val="en-US" w:eastAsia="zh-CN" w:bidi="ar-SA"/>
              </w:rPr>
              <w:t>设定依据</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000000"/>
                <w:sz w:val="21"/>
                <w:szCs w:val="21"/>
                <w:lang w:bidi="ar-SA"/>
              </w:rPr>
            </w:pPr>
            <w:r>
              <w:rPr>
                <w:rFonts w:hint="eastAsia" w:ascii="方正黑体_GBK" w:hAnsi="方正黑体_GBK" w:eastAsia="方正黑体_GBK" w:cs="方正黑体_GBK"/>
                <w:snapToGrid w:val="0"/>
                <w:color w:val="000000"/>
                <w:sz w:val="21"/>
                <w:szCs w:val="21"/>
                <w:lang w:val="en-US" w:eastAsia="zh-CN" w:bidi="ar-SA"/>
              </w:rPr>
              <w:t>主管部门</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firstLineChars="0"/>
              <w:jc w:val="center"/>
              <w:rPr>
                <w:rFonts w:hint="eastAsia" w:ascii="方正黑体_GBK" w:hAnsi="方正黑体_GBK" w:eastAsia="方正黑体_GBK" w:cs="方正黑体_GBK"/>
                <w:snapToGrid w:val="0"/>
                <w:color w:val="000000"/>
                <w:sz w:val="21"/>
                <w:szCs w:val="21"/>
                <w:lang w:val="en-US" w:eastAsia="zh-CN" w:bidi="ar-SA"/>
              </w:rPr>
            </w:pPr>
            <w:r>
              <w:rPr>
                <w:rFonts w:hint="eastAsia" w:ascii="方正黑体_GBK" w:hAnsi="方正黑体_GBK" w:eastAsia="方正黑体_GBK" w:cs="方正黑体_GBK"/>
                <w:snapToGrid w:val="0"/>
                <w:color w:val="000000"/>
                <w:sz w:val="21"/>
                <w:szCs w:val="21"/>
                <w:lang w:val="en-US" w:eastAsia="zh-CN" w:bidi="ar-SA"/>
              </w:rPr>
              <w:t>实施机关</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firstLineChars="0"/>
              <w:jc w:val="center"/>
              <w:rPr>
                <w:rFonts w:hint="eastAsia" w:ascii="方正黑体_GBK" w:hAnsi="方正黑体_GBK" w:eastAsia="方正黑体_GBK" w:cs="方正黑体_GBK"/>
                <w:snapToGrid w:val="0"/>
                <w:color w:val="000000"/>
                <w:sz w:val="21"/>
                <w:szCs w:val="21"/>
                <w:lang w:val="en-US" w:eastAsia="zh-CN" w:bidi="ar-SA"/>
              </w:rPr>
            </w:pPr>
            <w:r>
              <w:rPr>
                <w:rFonts w:hint="eastAsia" w:ascii="方正黑体_GBK" w:hAnsi="方正黑体_GBK" w:eastAsia="方正黑体_GBK" w:cs="方正黑体_GBK"/>
                <w:snapToGrid w:val="0"/>
                <w:color w:val="000000"/>
                <w:sz w:val="21"/>
                <w:szCs w:val="21"/>
                <w:lang w:val="en-US" w:eastAsia="zh-CN" w:bidi="ar-SA"/>
              </w:rPr>
              <w:t>赋权方式</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000000"/>
                <w:sz w:val="21"/>
                <w:szCs w:val="21"/>
                <w:lang w:val="en-US" w:eastAsia="zh-CN" w:bidi="ar-SA"/>
              </w:rPr>
            </w:pPr>
            <w:r>
              <w:rPr>
                <w:rFonts w:hint="eastAsia" w:ascii="方正黑体_GBK" w:hAnsi="方正黑体_GBK" w:eastAsia="方正黑体_GBK" w:cs="方正黑体_GBK"/>
                <w:snapToGrid w:val="0"/>
                <w:color w:val="000000"/>
                <w:sz w:val="21"/>
                <w:szCs w:val="21"/>
                <w:lang w:val="en-US" w:eastAsia="zh-CN" w:bidi="ar-SA"/>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56"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临时占用城市绿化用地审批</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outlineLvl w:val="9"/>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《城市绿化条例》（国务院令第100号）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住房和城乡建设局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bidi w:val="0"/>
              <w:snapToGrid w:val="0"/>
              <w:spacing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县（区）住房和城乡建设局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bidi w:val="0"/>
              <w:snapToGrid w:val="0"/>
              <w:spacing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bidi w:val="0"/>
              <w:snapToGrid w:val="0"/>
              <w:spacing w:line="260" w:lineRule="exact"/>
              <w:ind w:firstLine="0"/>
              <w:jc w:val="both"/>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26"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房屋建筑和市政基础设施工程竣工验收的备案</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outlineLvl w:val="9"/>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《建设工程质量管理条例》（国务院令第279号）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《江苏省工程建设管理条例》</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《房屋建筑工程和市政基础设施工程竣工验收备案管理暂行办法》（住房和城乡建设部令第2号）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住房和城乡建设局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市住房和城乡建设局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jc w:val="both"/>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07"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城镇污水排入排水管网许可</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spacing w:val="-11"/>
                <w:kern w:val="0"/>
                <w:sz w:val="21"/>
                <w:szCs w:val="21"/>
                <w:u w:val="none"/>
                <w:lang w:val="en-US" w:eastAsia="zh-CN" w:bidi="ar"/>
              </w:rPr>
              <w:t>《城镇排水与污水处理条例》（2013年10月2日国务院令第641号）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spacing w:val="-11"/>
                <w:kern w:val="0"/>
                <w:sz w:val="21"/>
                <w:szCs w:val="21"/>
                <w:u w:val="none"/>
                <w:lang w:val="en-US" w:eastAsia="zh-CN" w:bidi="ar"/>
              </w:rPr>
              <w:t>《城镇污水排入排水管网许可管理办法》（住房城乡建设部令第21号）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住房和城乡建设局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市住房和城乡建设局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jc w:val="left"/>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1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房屋租赁登记</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 xml:space="preserve">《中华人民共和国城市房地产管理法》 第五十三条、第五十四条 </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住房和城乡建设局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市住房和城乡建设局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323"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业委会备案</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 xml:space="preserve">《江苏省物业管理条例》 </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住房和城乡建设局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bidi w:val="0"/>
              <w:snapToGrid w:val="0"/>
              <w:spacing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县（区）住房和城乡建设局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highlight w:val="none"/>
                <w:u w:val="none"/>
                <w:lang w:val="en-US" w:eastAsia="zh-CN" w:bidi="ar-SA"/>
              </w:rPr>
            </w:pPr>
            <w:r>
              <w:rPr>
                <w:rFonts w:hint="eastAsia" w:ascii="方正仿宋_GBK" w:hAnsi="方正仿宋_GBK" w:eastAsia="方正仿宋_GBK" w:cs="方正仿宋_GBK"/>
                <w:i w:val="0"/>
                <w:iCs w:val="0"/>
                <w:color w:val="000000"/>
                <w:sz w:val="21"/>
                <w:szCs w:val="21"/>
                <w:highlight w:val="none"/>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highlight w:val="none"/>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23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6</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建设工程档案验收</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《江苏省档案管理条例》</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 xml:space="preserve">《江苏省城建档案管理办法》（省政府令第196号） </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《城市建设档案管理规定》（建设部令第61号，根据住房和城乡建设部令第47号修改）</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住房和城乡建设局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bidi w:val="0"/>
              <w:snapToGrid w:val="0"/>
              <w:spacing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县（区）住房和城乡建设局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7</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设置大型户外广告及在城市建筑物、设施上悬挂、张贴宣传品审批</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outlineLvl w:val="9"/>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《城</w:t>
            </w:r>
            <w:r>
              <w:rPr>
                <w:rFonts w:hint="eastAsia" w:ascii="方正仿宋_GBK" w:hAnsi="方正仿宋_GBK" w:eastAsia="方正仿宋_GBK" w:cs="方正仿宋_GBK"/>
                <w:i w:val="0"/>
                <w:iCs w:val="0"/>
                <w:color w:val="000000"/>
                <w:spacing w:val="-6"/>
                <w:kern w:val="0"/>
                <w:sz w:val="21"/>
                <w:szCs w:val="21"/>
                <w:u w:val="none"/>
                <w:lang w:val="en-US" w:eastAsia="zh-CN" w:bidi="ar"/>
              </w:rPr>
              <w:t>市市容和环境卫生管理条例》（国务院令第101号，2011年1月8日根据《国务院关于废止和修改部分行政法规的决定》修正）</w:t>
            </w:r>
            <w:r>
              <w:rPr>
                <w:rFonts w:hint="eastAsia" w:ascii="方正仿宋_GBK" w:hAnsi="方正仿宋_GBK" w:eastAsia="方正仿宋_GBK" w:cs="方正仿宋_GBK"/>
                <w:i w:val="0"/>
                <w:iCs w:val="0"/>
                <w:color w:val="000000"/>
                <w:kern w:val="0"/>
                <w:sz w:val="21"/>
                <w:szCs w:val="21"/>
                <w:u w:val="none"/>
                <w:lang w:val="en-US" w:eastAsia="zh-CN" w:bidi="ar"/>
              </w:rPr>
              <w:t xml:space="preserve"> </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 xml:space="preserve">《江苏省广告条例》 </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城市</w:t>
            </w:r>
          </w:p>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lang w:val="en-US"/>
              </w:rPr>
            </w:pPr>
            <w:r>
              <w:rPr>
                <w:rFonts w:hint="eastAsia" w:ascii="方正仿宋_GBK" w:hAnsi="方正仿宋_GBK" w:eastAsia="方正仿宋_GBK" w:cs="方正仿宋_GBK"/>
                <w:i w:val="0"/>
                <w:iCs w:val="0"/>
                <w:color w:val="000000"/>
                <w:kern w:val="0"/>
                <w:sz w:val="21"/>
                <w:szCs w:val="21"/>
                <w:u w:val="none"/>
                <w:lang w:val="en-US" w:eastAsia="zh-CN" w:bidi="ar"/>
              </w:rPr>
              <w:t>管理局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市城市管理局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kern w:val="0"/>
                <w:sz w:val="21"/>
                <w:szCs w:val="21"/>
                <w:u w:val="none"/>
                <w:lang w:val="en-US" w:eastAsia="zh-CN" w:bidi="ar"/>
              </w:rPr>
              <w:t>直接赋权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jc w:val="both"/>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884"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8</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拆除环境卫生设施许可</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outlineLvl w:val="9"/>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《城</w:t>
            </w:r>
            <w:r>
              <w:rPr>
                <w:rFonts w:hint="eastAsia" w:ascii="方正仿宋_GBK" w:hAnsi="方正仿宋_GBK" w:eastAsia="方正仿宋_GBK" w:cs="方正仿宋_GBK"/>
                <w:i w:val="0"/>
                <w:iCs w:val="0"/>
                <w:color w:val="000000"/>
                <w:spacing w:val="-6"/>
                <w:kern w:val="0"/>
                <w:sz w:val="21"/>
                <w:szCs w:val="21"/>
                <w:u w:val="none"/>
                <w:lang w:val="en-US" w:eastAsia="zh-CN" w:bidi="ar"/>
              </w:rPr>
              <w:t>市市容和环境卫生管理条例》（国务院令第101号，2011年1月8日根据《国务院关于废止和修改部分行政法规的决定》修正）</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《江苏省城市市容和环境卫生管理条例》</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城市</w:t>
            </w:r>
          </w:p>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管理局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市城市管理局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kern w:val="0"/>
                <w:sz w:val="21"/>
                <w:szCs w:val="21"/>
                <w:u w:val="none"/>
                <w:lang w:val="en-US" w:eastAsia="zh-CN" w:bidi="ar"/>
              </w:rPr>
              <w:t>直接赋权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jc w:val="both"/>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9</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基</w:t>
            </w:r>
            <w:r>
              <w:rPr>
                <w:rFonts w:hint="eastAsia" w:ascii="方正仿宋_GBK" w:hAnsi="方正仿宋_GBK" w:eastAsia="方正仿宋_GBK" w:cs="方正仿宋_GBK"/>
                <w:i w:val="0"/>
                <w:iCs w:val="0"/>
                <w:color w:val="000000"/>
                <w:spacing w:val="-11"/>
                <w:kern w:val="0"/>
                <w:sz w:val="21"/>
                <w:szCs w:val="21"/>
                <w:u w:val="none"/>
                <w:lang w:val="en-US" w:eastAsia="zh-CN" w:bidi="ar"/>
              </w:rPr>
              <w:t>本养老保险个人账户（个人账户余额）一次性支付核定</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行政确认</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《江苏省企业职工基本养老保险规定》（省政府36号令）</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10</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取水许可</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outlineLvl w:val="9"/>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《中华人民共和国水法》《中华人民共和国水污染防治法》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《取水许可和水资源费征收管理条例》（国务院令第460号）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水利局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市水利局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委托行权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jc w:val="both"/>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1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11</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水利基建项目初步设计文件审批</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《国务院对确需保留的行政审批项目设定行政许可的决定》（国务院令第412号）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水利局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市水利局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委托行权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jc w:val="both"/>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09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12</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生产建设项目水土保持方案审批</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《中华人民共和国水土保持法》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《江苏省水土保持条例》</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《开发建设项目水土保持方案编报审批管理规定》（水利部令第5号公布，水利部令第24号修正）</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水利局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市水利局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委托行权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jc w:val="both"/>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0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13</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老年人优待证的办理</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outlineLvl w:val="9"/>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《中华人民共和国老年人权益保障法》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《江苏省老年人权益保障条例》</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卫生健康委员会</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bidi w:val="0"/>
              <w:snapToGrid w:val="0"/>
              <w:spacing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县（区）卫生健康局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bidi w:val="0"/>
              <w:snapToGrid w:val="0"/>
              <w:spacing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bidi w:val="0"/>
              <w:snapToGrid w:val="0"/>
              <w:spacing w:line="260" w:lineRule="exact"/>
              <w:ind w:firstLine="0"/>
              <w:jc w:val="both"/>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17"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14</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食品经营许可</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《中华人民共和国食品安全法》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w:t>
            </w:r>
            <w:r>
              <w:rPr>
                <w:rFonts w:hint="eastAsia" w:ascii="方正仿宋_GBK" w:hAnsi="方正仿宋_GBK" w:eastAsia="方正仿宋_GBK" w:cs="方正仿宋_GBK"/>
                <w:i w:val="0"/>
                <w:iCs w:val="0"/>
                <w:color w:val="000000"/>
                <w:spacing w:val="-11"/>
                <w:kern w:val="0"/>
                <w:sz w:val="21"/>
                <w:szCs w:val="21"/>
                <w:u w:val="none"/>
                <w:lang w:val="en-US" w:eastAsia="zh-CN" w:bidi="ar"/>
              </w:rPr>
              <w:t>食品经营许可管理办法》（国家食品药品监督管理总局令第17号）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lang w:val="en-US"/>
              </w:rPr>
            </w:pPr>
            <w:r>
              <w:rPr>
                <w:rFonts w:hint="eastAsia" w:ascii="方正仿宋_GBK" w:hAnsi="方正仿宋_GBK" w:eastAsia="方正仿宋_GBK" w:cs="方正仿宋_GBK"/>
                <w:i w:val="0"/>
                <w:iCs w:val="0"/>
                <w:color w:val="000000"/>
                <w:kern w:val="0"/>
                <w:sz w:val="21"/>
                <w:szCs w:val="21"/>
                <w:u w:val="none"/>
                <w:lang w:val="en-US" w:eastAsia="zh-CN" w:bidi="ar"/>
              </w:rPr>
              <w:t>市场监督管理局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w:t>
            </w:r>
            <w:r>
              <w:rPr>
                <w:rFonts w:hint="eastAsia" w:ascii="方正仿宋_GBK" w:hAnsi="方正仿宋_GBK" w:eastAsia="方正仿宋_GBK" w:cs="方正仿宋_GBK"/>
                <w:i w:val="0"/>
                <w:iCs w:val="0"/>
                <w:color w:val="000000"/>
                <w:kern w:val="0"/>
                <w:sz w:val="21"/>
                <w:szCs w:val="21"/>
                <w:u w:val="none"/>
                <w:lang w:val="en-US" w:eastAsia="zh-CN" w:bidi="ar"/>
              </w:rPr>
              <w:t>市场监督管理局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委托行权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jc w:val="both"/>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39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15</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个体工商户登记注册</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《个体工商户条例》</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市场监督</w:t>
            </w:r>
          </w:p>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管理局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w:t>
            </w:r>
            <w:r>
              <w:rPr>
                <w:rFonts w:hint="eastAsia" w:ascii="方正仿宋_GBK" w:hAnsi="方正仿宋_GBK" w:eastAsia="方正仿宋_GBK" w:cs="方正仿宋_GBK"/>
                <w:i w:val="0"/>
                <w:iCs w:val="0"/>
                <w:color w:val="000000"/>
                <w:kern w:val="0"/>
                <w:sz w:val="21"/>
                <w:szCs w:val="21"/>
                <w:u w:val="none"/>
                <w:lang w:val="en-US" w:eastAsia="zh-CN" w:bidi="ar"/>
              </w:rPr>
              <w:t>市场监督管理局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委托行权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5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16</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农民专业合作社登记注册</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《中华人民共和国农民专业合作社法》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《农民专业合作社登记管理条例》</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市场监督</w:t>
            </w:r>
          </w:p>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管理局</w:t>
            </w:r>
          </w:p>
        </w:tc>
        <w:tc>
          <w:tcPr>
            <w:tcW w:w="13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w:t>
            </w:r>
            <w:r>
              <w:rPr>
                <w:rFonts w:hint="eastAsia" w:ascii="方正仿宋_GBK" w:hAnsi="方正仿宋_GBK" w:eastAsia="方正仿宋_GBK" w:cs="方正仿宋_GBK"/>
                <w:i w:val="0"/>
                <w:iCs w:val="0"/>
                <w:color w:val="000000"/>
                <w:kern w:val="0"/>
                <w:sz w:val="21"/>
                <w:szCs w:val="21"/>
                <w:u w:val="none"/>
                <w:lang w:val="en-US" w:eastAsia="zh-CN" w:bidi="ar"/>
              </w:rPr>
              <w:t>市场监督管理局</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委托行权</w:t>
            </w:r>
          </w:p>
        </w:tc>
        <w:tc>
          <w:tcPr>
            <w:tcW w:w="14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4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17</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sz w:val="21"/>
                <w:szCs w:val="21"/>
                <w:highlight w:val="none"/>
                <w:u w:val="none"/>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临时救助对象认定、救助金给付</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highlight w:val="none"/>
                <w:u w:val="none"/>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行政给付</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sz w:val="21"/>
                <w:szCs w:val="21"/>
                <w:highlight w:val="none"/>
                <w:u w:val="none"/>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《社会救助暂行办法》（国务院令第649号）</w:t>
            </w:r>
            <w:r>
              <w:rPr>
                <w:rFonts w:hint="eastAsia" w:ascii="方正仿宋_GBK" w:hAnsi="方正仿宋_GBK" w:eastAsia="方正仿宋_GBK" w:cs="方正仿宋_GBK"/>
                <w:i w:val="0"/>
                <w:iCs w:val="0"/>
                <w:color w:val="000000"/>
                <w:kern w:val="0"/>
                <w:sz w:val="21"/>
                <w:szCs w:val="21"/>
                <w:highlight w:val="none"/>
                <w:u w:val="none"/>
                <w:lang w:val="en-US" w:eastAsia="zh-CN" w:bidi="ar"/>
              </w:rPr>
              <w:br w:type="textWrapping"/>
            </w:r>
            <w:r>
              <w:rPr>
                <w:rFonts w:hint="eastAsia" w:ascii="方正仿宋_GBK" w:hAnsi="方正仿宋_GBK" w:eastAsia="方正仿宋_GBK" w:cs="方正仿宋_GBK"/>
                <w:i w:val="0"/>
                <w:iCs w:val="0"/>
                <w:color w:val="000000"/>
                <w:kern w:val="0"/>
                <w:sz w:val="21"/>
                <w:szCs w:val="21"/>
                <w:highlight w:val="none"/>
                <w:u w:val="none"/>
                <w:lang w:val="en-US" w:eastAsia="zh-CN" w:bidi="ar"/>
              </w:rPr>
              <w:t>《江苏省社会救助办法》（省政府令第99号）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highlight w:val="none"/>
                <w:u w:val="none"/>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民政局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highlight w:val="none"/>
                <w:u w:val="none"/>
                <w:lang w:val="en-US" w:eastAsia="zh-CN"/>
              </w:rPr>
            </w:pPr>
            <w:r>
              <w:rPr>
                <w:rFonts w:hint="eastAsia" w:ascii="方正仿宋_GBK" w:hAnsi="方正仿宋_GBK" w:eastAsia="方正仿宋_GBK" w:cs="方正仿宋_GBK"/>
                <w:i w:val="0"/>
                <w:iCs w:val="0"/>
                <w:color w:val="000000"/>
                <w:sz w:val="21"/>
                <w:szCs w:val="21"/>
                <w:highlight w:val="none"/>
                <w:u w:val="none"/>
                <w:lang w:val="en-US" w:eastAsia="zh-CN"/>
              </w:rPr>
              <w:t>县（区）民政局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highlight w:val="yellow"/>
                <w:u w:val="none"/>
                <w:lang w:val="en-US" w:eastAsia="zh-CN" w:bidi="ar-SA"/>
              </w:rPr>
            </w:pPr>
            <w:r>
              <w:rPr>
                <w:rFonts w:hint="eastAsia" w:ascii="方正仿宋_GBK" w:hAnsi="方正仿宋_GBK" w:eastAsia="方正仿宋_GBK" w:cs="方正仿宋_GBK"/>
                <w:i w:val="0"/>
                <w:iCs w:val="0"/>
                <w:color w:val="000000"/>
                <w:sz w:val="21"/>
                <w:szCs w:val="21"/>
                <w:highlight w:val="none"/>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jc w:val="left"/>
              <w:rPr>
                <w:rFonts w:hint="eastAsia" w:ascii="方正仿宋_GBK" w:hAnsi="方正仿宋_GBK" w:eastAsia="方正仿宋_GBK" w:cs="方正仿宋_GBK"/>
                <w:i w:val="0"/>
                <w:iCs w:val="0"/>
                <w:color w:val="000000"/>
                <w:sz w:val="21"/>
                <w:szCs w:val="21"/>
                <w:highlight w:val="none"/>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18</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养老机构备案</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 xml:space="preserve">《中华人民共和国老年人权益保障法》 第四十三条 </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民政局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w:t>
            </w:r>
          </w:p>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民政局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84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19</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bidi w:val="0"/>
              <w:snapToGrid w:val="0"/>
              <w:spacing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社会团体成立、变更、注销登记及修改章程核准</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《中华人民共和国慈善法》第十条第一款</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《社会团体登记管理条例》（国务院令第250号 2016年2月6日经《国务院关于修改部分行政法规的决定》修订）</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民政局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bidi w:val="0"/>
              <w:snapToGrid w:val="0"/>
              <w:spacing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市民政局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bidi w:val="0"/>
              <w:snapToGrid w:val="0"/>
              <w:spacing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bidi w:val="0"/>
              <w:snapToGrid w:val="0"/>
              <w:spacing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10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20</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民办非企业单位成立、变更、注销登记及修改章程核准</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outlineLvl w:val="9"/>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《中华人民共和国慈善法》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《民办非企业单位登记管理暂行条例》（国务院令第251号）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《中华人民共和国慈善法》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《民办非企业单位登记管理暂行条例》（国务院令第251号）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民政局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市民政局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1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21</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基金会设立、变更、注销登记及修改章程核准</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outlineLvl w:val="9"/>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《中华人民共和国慈善法》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《基金会管理条例》（国务院令第400号）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民政局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市民政局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41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22</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最低生活保障对象认定、保障金给付</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行政给付</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《社会救助暂行办法》（国务院令第649号）</w:t>
            </w:r>
            <w:r>
              <w:rPr>
                <w:rFonts w:hint="eastAsia" w:ascii="方正仿宋_GBK" w:hAnsi="方正仿宋_GBK" w:eastAsia="方正仿宋_GBK" w:cs="方正仿宋_GBK"/>
                <w:i w:val="0"/>
                <w:iCs w:val="0"/>
                <w:color w:val="000000"/>
                <w:kern w:val="0"/>
                <w:sz w:val="21"/>
                <w:szCs w:val="21"/>
                <w:highlight w:val="none"/>
                <w:u w:val="none"/>
                <w:lang w:val="en-US" w:eastAsia="zh-CN" w:bidi="ar"/>
              </w:rPr>
              <w:br w:type="textWrapping"/>
            </w:r>
            <w:r>
              <w:rPr>
                <w:rFonts w:hint="eastAsia" w:ascii="方正仿宋_GBK" w:hAnsi="方正仿宋_GBK" w:eastAsia="方正仿宋_GBK" w:cs="方正仿宋_GBK"/>
                <w:i w:val="0"/>
                <w:iCs w:val="0"/>
                <w:color w:val="000000"/>
                <w:kern w:val="0"/>
                <w:sz w:val="21"/>
                <w:szCs w:val="21"/>
                <w:highlight w:val="none"/>
                <w:u w:val="none"/>
                <w:lang w:val="en-US" w:eastAsia="zh-CN" w:bidi="ar"/>
              </w:rPr>
              <w:t>《江苏省社会救助办法》（省政府令第99号）</w:t>
            </w:r>
            <w:r>
              <w:rPr>
                <w:rFonts w:hint="eastAsia" w:ascii="方正仿宋_GBK" w:hAnsi="方正仿宋_GBK" w:eastAsia="方正仿宋_GBK" w:cs="方正仿宋_GBK"/>
                <w:i w:val="0"/>
                <w:iCs w:val="0"/>
                <w:color w:val="000000"/>
                <w:kern w:val="0"/>
                <w:sz w:val="21"/>
                <w:szCs w:val="21"/>
                <w:highlight w:val="none"/>
                <w:u w:val="none"/>
                <w:lang w:val="en-US" w:eastAsia="zh-CN" w:bidi="ar"/>
              </w:rPr>
              <w:br w:type="textWrapping"/>
            </w:r>
            <w:r>
              <w:rPr>
                <w:rFonts w:hint="eastAsia" w:ascii="方正仿宋_GBK" w:hAnsi="方正仿宋_GBK" w:eastAsia="方正仿宋_GBK" w:cs="方正仿宋_GBK"/>
                <w:i w:val="0"/>
                <w:iCs w:val="0"/>
                <w:color w:val="000000"/>
                <w:kern w:val="0"/>
                <w:sz w:val="21"/>
                <w:szCs w:val="21"/>
                <w:highlight w:val="none"/>
                <w:u w:val="none"/>
                <w:lang w:val="en-US" w:eastAsia="zh-CN" w:bidi="ar"/>
              </w:rPr>
              <w:t>省政府办公厅《关于加快建立和完善城乡医疗救助制度的意见》（苏政办发〔2007〕105号）</w:t>
            </w:r>
            <w:r>
              <w:rPr>
                <w:rFonts w:hint="eastAsia" w:ascii="方正仿宋_GBK" w:hAnsi="方正仿宋_GBK" w:eastAsia="方正仿宋_GBK" w:cs="方正仿宋_GBK"/>
                <w:i w:val="0"/>
                <w:iCs w:val="0"/>
                <w:color w:val="000000"/>
                <w:kern w:val="0"/>
                <w:sz w:val="21"/>
                <w:szCs w:val="21"/>
                <w:highlight w:val="none"/>
                <w:u w:val="none"/>
                <w:lang w:val="en-US" w:eastAsia="zh-CN" w:bidi="ar"/>
              </w:rPr>
              <w:br w:type="textWrapping"/>
            </w:r>
            <w:r>
              <w:rPr>
                <w:rFonts w:hint="eastAsia" w:ascii="方正仿宋_GBK" w:hAnsi="方正仿宋_GBK" w:eastAsia="方正仿宋_GBK" w:cs="方正仿宋_GBK"/>
                <w:i w:val="0"/>
                <w:iCs w:val="0"/>
                <w:color w:val="000000"/>
                <w:kern w:val="0"/>
                <w:sz w:val="21"/>
                <w:szCs w:val="21"/>
                <w:highlight w:val="none"/>
                <w:u w:val="none"/>
                <w:lang w:val="en-US" w:eastAsia="zh-CN" w:bidi="ar"/>
              </w:rPr>
              <w:t>《关于进一步完善医疗救助制度的实施意见》（苏政办发〔2015〕135号）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民政局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pacing w:val="-11"/>
                <w:sz w:val="21"/>
                <w:szCs w:val="21"/>
                <w:u w:val="none"/>
                <w:lang w:val="en-US" w:eastAsia="zh-CN"/>
              </w:rPr>
            </w:pPr>
            <w:r>
              <w:rPr>
                <w:rFonts w:hint="eastAsia" w:ascii="方正仿宋_GBK" w:hAnsi="方正仿宋_GBK" w:eastAsia="方正仿宋_GBK" w:cs="方正仿宋_GBK"/>
                <w:i w:val="0"/>
                <w:iCs w:val="0"/>
                <w:color w:val="000000"/>
                <w:spacing w:val="-11"/>
                <w:sz w:val="21"/>
                <w:szCs w:val="21"/>
                <w:u w:val="none"/>
                <w:lang w:val="en-US" w:eastAsia="zh-CN"/>
              </w:rPr>
              <w:t>县（区）民政局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highlight w:val="yellow"/>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highlight w:val="none"/>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02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23</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老年人福利补贴</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行政给付</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 xml:space="preserve">《中华人民共和国老年人权益保障法》                   </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《江苏省老年人权益保障条例》</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《江苏省民政厅 江苏省财政厅关于向80周岁以上老年人发放尊老金的通知》（苏民福〔2011〕6号 苏财社〔2011〕47号）　</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民政局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pacing w:val="-11"/>
                <w:sz w:val="21"/>
                <w:szCs w:val="21"/>
                <w:u w:val="none"/>
                <w:lang w:val="en-US" w:eastAsia="zh-CN"/>
              </w:rPr>
            </w:pPr>
            <w:r>
              <w:rPr>
                <w:rFonts w:hint="eastAsia" w:ascii="方正仿宋_GBK" w:hAnsi="方正仿宋_GBK" w:eastAsia="方正仿宋_GBK" w:cs="方正仿宋_GBK"/>
                <w:i w:val="0"/>
                <w:iCs w:val="0"/>
                <w:color w:val="000000"/>
                <w:spacing w:val="-11"/>
                <w:sz w:val="21"/>
                <w:szCs w:val="21"/>
                <w:u w:val="none"/>
                <w:lang w:val="en-US" w:eastAsia="zh-CN"/>
              </w:rPr>
              <w:t>县（区）民政局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4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24</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困难残疾人生活补贴和重度残疾人护理补贴</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行政给付</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《国务院关于全面建立困难残疾人生活补贴和重度残疾人护理补贴制度的意见》（国发〔2015〕52号）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highlight w:val="none"/>
                <w:u w:val="none"/>
                <w:lang w:val="en-US" w:eastAsia="zh-CN" w:bidi="ar"/>
              </w:rPr>
            </w:pPr>
            <w:r>
              <w:rPr>
                <w:rFonts w:hint="eastAsia" w:ascii="方正仿宋_GBK" w:hAnsi="方正仿宋_GBK" w:eastAsia="方正仿宋_GBK" w:cs="方正仿宋_GBK"/>
                <w:i w:val="0"/>
                <w:iCs w:val="0"/>
                <w:color w:val="000000"/>
                <w:kern w:val="0"/>
                <w:sz w:val="21"/>
                <w:szCs w:val="21"/>
                <w:highlight w:val="none"/>
                <w:u w:val="none"/>
                <w:lang w:val="en-US" w:eastAsia="zh-CN" w:bidi="ar"/>
              </w:rPr>
              <w:t>民政局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pacing w:val="-11"/>
                <w:sz w:val="21"/>
                <w:szCs w:val="21"/>
                <w:u w:val="none"/>
                <w:lang w:val="en-US" w:eastAsia="zh-CN" w:bidi="ar-SA"/>
              </w:rPr>
            </w:pPr>
            <w:r>
              <w:rPr>
                <w:rFonts w:hint="eastAsia" w:ascii="方正仿宋_GBK" w:hAnsi="方正仿宋_GBK" w:eastAsia="方正仿宋_GBK" w:cs="方正仿宋_GBK"/>
                <w:i w:val="0"/>
                <w:iCs w:val="0"/>
                <w:color w:val="000000"/>
                <w:spacing w:val="-11"/>
                <w:sz w:val="21"/>
                <w:szCs w:val="21"/>
                <w:u w:val="none"/>
                <w:lang w:val="en-US" w:eastAsia="zh-CN"/>
              </w:rPr>
              <w:t>县（区）民政局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bidi w:val="0"/>
              <w:snapToGrid w:val="0"/>
              <w:spacing w:line="260" w:lineRule="exact"/>
              <w:ind w:firstLine="0" w:firstLineChars="0"/>
              <w:jc w:val="center"/>
              <w:rPr>
                <w:rFonts w:hint="eastAsia" w:ascii="方正仿宋_GBK" w:hAnsi="方正仿宋_GBK" w:eastAsia="方正仿宋_GBK" w:cs="方正仿宋_GBK"/>
                <w:i w:val="0"/>
                <w:iCs w:val="0"/>
                <w:snapToGrid w:val="0"/>
                <w:color w:val="000000"/>
                <w:sz w:val="21"/>
                <w:szCs w:val="21"/>
                <w:highlight w:val="yellow"/>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bidi w:val="0"/>
              <w:snapToGrid w:val="0"/>
              <w:spacing w:line="260" w:lineRule="exact"/>
              <w:ind w:firstLine="0"/>
              <w:rPr>
                <w:rFonts w:hint="eastAsia" w:ascii="方正仿宋_GBK" w:hAnsi="方正仿宋_GBK" w:eastAsia="方正仿宋_GBK" w:cs="方正仿宋_GBK"/>
                <w:i w:val="0"/>
                <w:iCs w:val="0"/>
                <w:color w:val="000000"/>
                <w:sz w:val="21"/>
                <w:szCs w:val="21"/>
                <w:highlight w:val="none"/>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32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25</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低收入家庭资格认定</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江苏省城市低收入家庭认定办法（苏民发〔2009〕8号）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民政局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pacing w:val="-11"/>
                <w:sz w:val="21"/>
                <w:szCs w:val="21"/>
                <w:u w:val="none"/>
                <w:lang w:val="en-US" w:eastAsia="zh-CN" w:bidi="ar-SA"/>
              </w:rPr>
            </w:pPr>
            <w:r>
              <w:rPr>
                <w:rFonts w:hint="eastAsia" w:ascii="方正仿宋_GBK" w:hAnsi="方正仿宋_GBK" w:eastAsia="方正仿宋_GBK" w:cs="方正仿宋_GBK"/>
                <w:i w:val="0"/>
                <w:iCs w:val="0"/>
                <w:color w:val="000000"/>
                <w:spacing w:val="-11"/>
                <w:sz w:val="21"/>
                <w:szCs w:val="21"/>
                <w:u w:val="none"/>
                <w:lang w:val="en-US" w:eastAsia="zh-CN"/>
              </w:rPr>
              <w:t>县（区）民政局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26</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出版物零售单位和个体工商户设立、变更审批</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《出版管理条例》（国务院令第594号）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《出版物市场管理规定》（新闻出版总署、商务部令第52号）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新闻出版局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市新闻出版局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委托行权</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jc w:val="left"/>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028"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27</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企业登记注册</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《中华人民共和国公司法》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《中华人民共和国个人独资企业法》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《中华人民共和国合伙企业法》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《中华人民共和国合伙企业登记管理办法》</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市场监督管理局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w:t>
            </w:r>
            <w:r>
              <w:rPr>
                <w:rFonts w:hint="eastAsia" w:ascii="方正仿宋_GBK" w:hAnsi="方正仿宋_GBK" w:eastAsia="方正仿宋_GBK" w:cs="方正仿宋_GBK"/>
                <w:i w:val="0"/>
                <w:iCs w:val="0"/>
                <w:color w:val="000000"/>
                <w:kern w:val="0"/>
                <w:sz w:val="21"/>
                <w:szCs w:val="21"/>
                <w:u w:val="none"/>
                <w:lang w:val="en-US" w:eastAsia="zh-CN" w:bidi="ar"/>
              </w:rPr>
              <w:t>行政审批局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委托行权</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28</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建筑工程施工许可</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both"/>
              <w:textAlignment w:val="center"/>
              <w:outlineLvl w:val="9"/>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《中华人民共和国建筑法》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《江苏省工程建设管理条例》</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《建筑工程施工许可管理办法》（住房和城乡建设部令第18号）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住房和城乡建设局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bidi w:val="0"/>
              <w:snapToGrid w:val="0"/>
              <w:spacing w:line="260" w:lineRule="exact"/>
              <w:ind w:firstLine="0" w:firstLineChars="0"/>
              <w:jc w:val="center"/>
              <w:rPr>
                <w:rFonts w:hint="default"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w:t>
            </w:r>
            <w:r>
              <w:rPr>
                <w:rFonts w:hint="eastAsia" w:ascii="方正仿宋_GBK" w:hAnsi="方正仿宋_GBK" w:eastAsia="方正仿宋_GBK" w:cs="方正仿宋_GBK"/>
                <w:i w:val="0"/>
                <w:iCs w:val="0"/>
                <w:color w:val="000000"/>
                <w:kern w:val="0"/>
                <w:sz w:val="21"/>
                <w:szCs w:val="21"/>
                <w:u w:val="none"/>
                <w:lang w:val="en-US" w:eastAsia="zh-CN" w:bidi="ar"/>
              </w:rPr>
              <w:t>行政审批局、住建局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bidi w:val="0"/>
              <w:snapToGrid w:val="0"/>
              <w:spacing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bidi w:val="0"/>
              <w:snapToGrid w:val="0"/>
              <w:spacing w:line="260" w:lineRule="exact"/>
              <w:ind w:firstLine="0"/>
              <w:jc w:val="both"/>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29</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烟花爆竹经营许可</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《烟花爆竹安全管理条例》（2006年国务院令第455号）第十九条</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应急管理局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sz w:val="21"/>
                <w:szCs w:val="21"/>
                <w:vertAlign w:val="baseline"/>
                <w:lang w:val="en-US" w:eastAsia="zh-CN"/>
              </w:rPr>
            </w:pPr>
            <w:r>
              <w:rPr>
                <w:rFonts w:hint="eastAsia" w:ascii="方正仿宋_GBK" w:hAnsi="方正仿宋_GBK" w:eastAsia="方正仿宋_GBK" w:cs="方正仿宋_GBK"/>
                <w:sz w:val="21"/>
                <w:szCs w:val="21"/>
                <w:vertAlign w:val="baseline"/>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应急管理局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sz w:val="21"/>
                <w:szCs w:val="21"/>
                <w:vertAlign w:val="baseli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仅</w:t>
            </w:r>
            <w:r>
              <w:rPr>
                <w:rFonts w:hint="eastAsia" w:ascii="方正仿宋_GBK" w:hAnsi="方正仿宋_GBK" w:eastAsia="方正仿宋_GBK" w:cs="方正仿宋_GBK"/>
                <w:i w:val="0"/>
                <w:iCs w:val="0"/>
                <w:color w:val="000000"/>
                <w:spacing w:val="-11"/>
                <w:sz w:val="21"/>
                <w:szCs w:val="21"/>
                <w:u w:val="none"/>
                <w:lang w:val="en-US" w:eastAsia="zh-CN"/>
              </w:rPr>
              <w:t>限烟花爆竹经营（零售）许可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337"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30</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救灾捐赠款物的调拨、分配及备案</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《救灾捐赠管理办法》（民政部令第35号）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应急管理局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sz w:val="21"/>
                <w:szCs w:val="21"/>
                <w:vertAlign w:val="baseline"/>
                <w:lang w:val="en-US" w:eastAsia="zh-CN"/>
              </w:rPr>
            </w:pPr>
            <w:r>
              <w:rPr>
                <w:rFonts w:hint="eastAsia" w:ascii="方正仿宋_GBK" w:hAnsi="方正仿宋_GBK" w:eastAsia="方正仿宋_GBK" w:cs="方正仿宋_GBK"/>
                <w:sz w:val="21"/>
                <w:szCs w:val="21"/>
                <w:vertAlign w:val="baseline"/>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应急管理局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sz w:val="21"/>
                <w:szCs w:val="21"/>
                <w:vertAlign w:val="baseli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4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31</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受灾人员救助</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《社会救助暂行办法》(国务院令第649号)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应急管理局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sz w:val="21"/>
                <w:szCs w:val="21"/>
                <w:vertAlign w:val="baseline"/>
                <w:lang w:val="en-US" w:eastAsia="zh-CN"/>
              </w:rPr>
            </w:pPr>
            <w:r>
              <w:rPr>
                <w:rFonts w:hint="eastAsia" w:ascii="方正仿宋_GBK" w:hAnsi="方正仿宋_GBK" w:eastAsia="方正仿宋_GBK" w:cs="方正仿宋_GBK"/>
                <w:sz w:val="21"/>
                <w:szCs w:val="21"/>
                <w:vertAlign w:val="baseline"/>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应急管理局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sz w:val="21"/>
                <w:szCs w:val="21"/>
                <w:vertAlign w:val="baseli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32</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生产经营单位事故应急预案备案</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《危险化学品安全管理条例》(国务院令第591号）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《生产安全事故应急预案管理办法》（国家安全生产监督管理总局令第88号）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应急管理局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sz w:val="21"/>
                <w:szCs w:val="21"/>
                <w:vertAlign w:val="baseline"/>
                <w:lang w:val="en-US" w:eastAsia="zh-CN"/>
              </w:rPr>
            </w:pPr>
            <w:r>
              <w:rPr>
                <w:rFonts w:hint="eastAsia" w:ascii="方正仿宋_GBK" w:hAnsi="方正仿宋_GBK" w:eastAsia="方正仿宋_GBK" w:cs="方正仿宋_GBK"/>
                <w:sz w:val="21"/>
                <w:szCs w:val="21"/>
                <w:vertAlign w:val="baseline"/>
                <w:lang w:val="en-US" w:eastAsia="zh-CN"/>
              </w:rPr>
              <w:t>县（区）应急管理局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sz w:val="21"/>
                <w:szCs w:val="21"/>
                <w:vertAlign w:val="baseli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bidi w:val="0"/>
              <w:snapToGrid w:val="0"/>
              <w:spacing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3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33</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农机产品质量、维修质量、售后服务投诉受理与调解</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 xml:space="preserve">《农业机械安全监督管理条例》（国务院令第563号公布，国务院令第666号修订）                  </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《江苏省农业机械管理条例》</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农业农村局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市农业农村局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27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34</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拖拉机和联合收割机登记</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《中华人民共和国道路交通安全法》（2003年10月28日主席令第八号，2011年4月22日予以修改）</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《农业机械安全监督管理条例》（2009年9月17日国务院563号令，2016年2月6日予以修改）</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《国务院对确需保留的行政审批项目设定行政许可的决定》（2</w:t>
            </w:r>
            <w:r>
              <w:rPr>
                <w:rFonts w:hint="eastAsia" w:ascii="方正仿宋_GBK" w:hAnsi="方正仿宋_GBK" w:eastAsia="方正仿宋_GBK" w:cs="方正仿宋_GBK"/>
                <w:i w:val="0"/>
                <w:iCs w:val="0"/>
                <w:color w:val="000000"/>
                <w:spacing w:val="-17"/>
                <w:kern w:val="0"/>
                <w:sz w:val="21"/>
                <w:szCs w:val="21"/>
                <w:u w:val="none"/>
                <w:lang w:val="en-US" w:eastAsia="zh-CN" w:bidi="ar"/>
              </w:rPr>
              <w:t>004年6月29日国务院令第412号，2009年1月29日予以修改）</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农业农村局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县（区）农业农村局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81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35</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医疗、生育保险待遇支付</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行政给付</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outlineLvl w:val="9"/>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《中华人民共和国社会保险法》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第八条社会保险经办机构提供社会保险服务，负责社会保险登记、个人权益记录、社会保险待遇支付等工作。</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lang w:val="en-US"/>
              </w:rPr>
            </w:pP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299"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36</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低保、特困等困难群众医疗救助</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lang w:val="en-US"/>
              </w:rPr>
            </w:pPr>
            <w:r>
              <w:rPr>
                <w:rFonts w:hint="eastAsia" w:ascii="方正仿宋_GBK" w:hAnsi="方正仿宋_GBK" w:eastAsia="方正仿宋_GBK" w:cs="方正仿宋_GBK"/>
                <w:i w:val="0"/>
                <w:iCs w:val="0"/>
                <w:color w:val="000000"/>
                <w:kern w:val="0"/>
                <w:sz w:val="21"/>
                <w:szCs w:val="21"/>
                <w:u w:val="none"/>
                <w:lang w:val="en-US" w:eastAsia="zh-CN" w:bidi="ar"/>
              </w:rPr>
              <w:t>行政给付</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outlineLvl w:val="9"/>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《社会救助暂行办法》（国务院令第649号）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《江苏省社会救助办法》（省政府令第99号）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【规范性文件】省政府办公厅《关于加快建立和完善城乡医疗救助制度的意见》（苏政办发〔2007〕105号）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spacing w:val="-17"/>
                <w:kern w:val="0"/>
                <w:sz w:val="21"/>
                <w:szCs w:val="21"/>
                <w:u w:val="none"/>
                <w:lang w:val="en-US" w:eastAsia="zh-CN" w:bidi="ar"/>
              </w:rPr>
              <w:t>《关于进一步完善医疗救助制度的实施意见》 （苏政办发〔2015〕135号）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lang w:val="en-US"/>
              </w:rPr>
            </w:pP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县（区）医疗保障局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41"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37</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医疗、生育保险登记</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outlineLvl w:val="9"/>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《中华人民共和国社会保险法》</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《社会保险费征缴暂行条例》（国务院令第259号）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《江苏省医疗保障局职能配置、内设机构和人员编制规定》（苏办〔2019〕47号）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bidi w:val="0"/>
              <w:snapToGrid w:val="0"/>
              <w:spacing w:line="260" w:lineRule="exact"/>
              <w:ind w:firstLine="0"/>
              <w:jc w:val="center"/>
              <w:textAlignment w:val="center"/>
              <w:rPr>
                <w:rFonts w:hint="eastAsia" w:ascii="方正仿宋_GBK" w:hAnsi="方正仿宋_GBK" w:eastAsia="方正仿宋_GBK" w:cs="方正仿宋_GBK"/>
                <w:i w:val="0"/>
                <w:iCs w:val="0"/>
                <w:color w:val="000000"/>
                <w:sz w:val="21"/>
                <w:szCs w:val="21"/>
                <w:u w:val="none"/>
                <w:lang w:val="en-US"/>
              </w:rPr>
            </w:pP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sz w:val="21"/>
                <w:szCs w:val="21"/>
                <w:vertAlign w:val="baseline"/>
                <w:lang w:val="en-US" w:eastAsia="zh-CN"/>
              </w:rPr>
            </w:pPr>
            <w:r>
              <w:rPr>
                <w:rFonts w:hint="eastAsia" w:ascii="方正仿宋_GBK" w:hAnsi="方正仿宋_GBK" w:eastAsia="方正仿宋_GBK" w:cs="方正仿宋_GBK"/>
                <w:i w:val="0"/>
                <w:iCs w:val="0"/>
                <w:color w:val="000000"/>
                <w:sz w:val="21"/>
                <w:szCs w:val="21"/>
                <w:u w:val="none"/>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val="0"/>
              <w:autoSpaceDN w:val="0"/>
              <w:bidi w:val="0"/>
              <w:adjustRightInd/>
              <w:snapToGrid w:val="0"/>
              <w:spacing w:line="260" w:lineRule="exact"/>
              <w:ind w:firstLine="0" w:firstLineChars="0"/>
              <w:jc w:val="center"/>
              <w:textAlignment w:val="auto"/>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sz w:val="21"/>
                <w:szCs w:val="21"/>
                <w:vertAlign w:val="baseline"/>
                <w:lang w:val="en-US" w:eastAsia="zh-CN"/>
              </w:rPr>
              <w:t>委托行权</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bidi w:val="0"/>
              <w:snapToGrid w:val="0"/>
              <w:spacing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785"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38</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烈士遗属、因公牺牲军人遗属、病故军人遗属定期抚恤金的给付</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行政给付</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《军人抚恤优待条例》（国务院、中央军委令第602号）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退役军人事务局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县（区）退役军人事务局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6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39</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在乡复员军人定期生活补助</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行政给付</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 xml:space="preserve">《军人抚恤优待条例》（国务院、中央军委令第602号） </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退役军人事务局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县（区）退役军人事务局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1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40</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公共文化体育设施的名称、地址、服务项目等内容备案</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其他</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 xml:space="preserve">《公共文化体育设施条例》（国务院令第382号） </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文化广电和旅游局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w:t>
            </w:r>
            <w:r>
              <w:rPr>
                <w:rFonts w:hint="eastAsia" w:ascii="方正仿宋_GBK" w:hAnsi="方正仿宋_GBK" w:eastAsia="方正仿宋_GBK" w:cs="方正仿宋_GBK"/>
                <w:i w:val="0"/>
                <w:iCs w:val="0"/>
                <w:color w:val="000000"/>
                <w:kern w:val="0"/>
                <w:sz w:val="21"/>
                <w:szCs w:val="21"/>
                <w:u w:val="none"/>
                <w:lang w:val="en-US" w:eastAsia="zh-CN" w:bidi="ar"/>
              </w:rPr>
              <w:t>文化广电和旅游局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直接赋权</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1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41</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宗教活动场所设立、变更、注销登记</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《宗教事务条例》（国务院令第686号）</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lang w:val="en-US"/>
              </w:rPr>
            </w:pPr>
            <w:r>
              <w:rPr>
                <w:rFonts w:hint="eastAsia" w:ascii="方正仿宋_GBK" w:hAnsi="方正仿宋_GBK" w:eastAsia="方正仿宋_GBK" w:cs="方正仿宋_GBK"/>
                <w:i w:val="0"/>
                <w:iCs w:val="0"/>
                <w:color w:val="000000"/>
                <w:kern w:val="0"/>
                <w:sz w:val="21"/>
                <w:szCs w:val="21"/>
                <w:u w:val="none"/>
                <w:lang w:val="en-US" w:eastAsia="zh-CN" w:bidi="ar"/>
              </w:rPr>
              <w:t>民族宗教事务局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w:t>
            </w:r>
            <w:r>
              <w:rPr>
                <w:rFonts w:hint="eastAsia" w:ascii="方正仿宋_GBK" w:hAnsi="方正仿宋_GBK" w:eastAsia="方正仿宋_GBK" w:cs="方正仿宋_GBK"/>
                <w:i w:val="0"/>
                <w:iCs w:val="0"/>
                <w:color w:val="000000"/>
                <w:kern w:val="0"/>
                <w:sz w:val="21"/>
                <w:szCs w:val="21"/>
                <w:u w:val="none"/>
                <w:lang w:val="en-US" w:eastAsia="zh-CN" w:bidi="ar"/>
              </w:rPr>
              <w:t>民族宗教事务局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10" w:hRule="atLeast"/>
          <w:jc w:val="center"/>
        </w:trPr>
        <w:tc>
          <w:tcPr>
            <w:tcW w:w="4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42</w:t>
            </w:r>
          </w:p>
        </w:tc>
        <w:tc>
          <w:tcPr>
            <w:tcW w:w="26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宗教活动场所法人登记审批</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行政许可</w:t>
            </w:r>
          </w:p>
        </w:tc>
        <w:tc>
          <w:tcPr>
            <w:tcW w:w="5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《宗教事务条例》（2004年11月30日国务院令第426号，2017年8月26日修订）</w:t>
            </w:r>
          </w:p>
        </w:tc>
        <w:tc>
          <w:tcPr>
            <w:tcW w:w="11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bidi="ar"/>
              </w:rPr>
              <w:t>民族宗教事务局</w:t>
            </w:r>
          </w:p>
        </w:tc>
        <w:tc>
          <w:tcPr>
            <w:tcW w:w="13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县（区）</w:t>
            </w:r>
            <w:r>
              <w:rPr>
                <w:rFonts w:hint="eastAsia" w:ascii="方正仿宋_GBK" w:hAnsi="方正仿宋_GBK" w:eastAsia="方正仿宋_GBK" w:cs="方正仿宋_GBK"/>
                <w:i w:val="0"/>
                <w:iCs w:val="0"/>
                <w:color w:val="000000"/>
                <w:kern w:val="0"/>
                <w:sz w:val="21"/>
                <w:szCs w:val="21"/>
                <w:u w:val="none"/>
                <w:lang w:val="en-US" w:eastAsia="zh-CN" w:bidi="ar"/>
              </w:rPr>
              <w:t>民族宗教事务局</w:t>
            </w:r>
          </w:p>
        </w:tc>
        <w:tc>
          <w:tcPr>
            <w:tcW w:w="12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firstLineChars="0"/>
              <w:jc w:val="center"/>
              <w:rPr>
                <w:rFonts w:hint="eastAsia" w:ascii="方正仿宋_GBK" w:hAnsi="方正仿宋_GBK" w:eastAsia="方正仿宋_GBK" w:cs="方正仿宋_GBK"/>
                <w:i w:val="0"/>
                <w:iCs w:val="0"/>
                <w:snapToGrid w:val="0"/>
                <w:color w:val="000000"/>
                <w:sz w:val="21"/>
                <w:szCs w:val="21"/>
                <w:u w:val="none"/>
                <w:lang w:val="en-US" w:eastAsia="zh-CN" w:bidi="ar-SA"/>
              </w:rPr>
            </w:pPr>
            <w:r>
              <w:rPr>
                <w:rFonts w:hint="eastAsia" w:ascii="方正仿宋_GBK" w:hAnsi="方正仿宋_GBK" w:eastAsia="方正仿宋_GBK" w:cs="方正仿宋_GBK"/>
                <w:i w:val="0"/>
                <w:iCs w:val="0"/>
                <w:color w:val="000000"/>
                <w:sz w:val="21"/>
                <w:szCs w:val="21"/>
                <w:u w:val="none"/>
                <w:lang w:val="en-US" w:eastAsia="zh-CN"/>
              </w:rPr>
              <w:t>受理初审权下放</w:t>
            </w:r>
          </w:p>
        </w:tc>
        <w:tc>
          <w:tcPr>
            <w:tcW w:w="14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napToGrid w:val="0"/>
              <w:spacing w:after="0" w:line="260" w:lineRule="exact"/>
              <w:ind w:firstLine="0"/>
              <w:rPr>
                <w:rFonts w:hint="eastAsia" w:ascii="方正仿宋_GBK" w:hAnsi="方正仿宋_GBK" w:eastAsia="方正仿宋_GBK" w:cs="方正仿宋_GBK"/>
                <w:i w:val="0"/>
                <w:iCs w:val="0"/>
                <w:color w:val="000000"/>
                <w:sz w:val="21"/>
                <w:szCs w:val="21"/>
                <w:u w:val="none"/>
                <w:lang w:val="en-US" w:eastAsia="zh-CN"/>
              </w:rPr>
            </w:pPr>
          </w:p>
        </w:tc>
      </w:tr>
    </w:tbl>
    <w:p>
      <w:pPr>
        <w:widowControl w:val="0"/>
        <w:adjustRightInd/>
        <w:spacing w:after="0" w:line="560" w:lineRule="exact"/>
        <w:ind w:left="0" w:leftChars="0" w:firstLine="0" w:firstLineChars="0"/>
        <w:jc w:val="both"/>
        <w:rPr>
          <w:rFonts w:hint="default" w:ascii="Times New Roman" w:hAnsi="Times New Roman" w:eastAsia="方正黑体_GBK" w:cs="Times New Roman"/>
          <w:b w:val="0"/>
          <w:bCs w:val="0"/>
          <w:kern w:val="2"/>
          <w:sz w:val="32"/>
          <w:szCs w:val="32"/>
        </w:rPr>
      </w:pPr>
      <w:r>
        <w:rPr>
          <w:rFonts w:hint="default" w:ascii="Times New Roman" w:hAnsi="Times New Roman" w:eastAsia="方正仿宋简体" w:cs="Times New Roman"/>
          <w:kern w:val="2"/>
          <w:sz w:val="32"/>
          <w:szCs w:val="32"/>
        </w:rPr>
        <w:br w:type="page"/>
      </w:r>
      <w:r>
        <w:rPr>
          <w:rFonts w:hint="eastAsia" w:ascii="方正黑体_GBK" w:hAnsi="方正黑体_GBK" w:eastAsia="方正黑体_GBK" w:cs="方正黑体_GBK"/>
          <w:b w:val="0"/>
          <w:bCs w:val="0"/>
          <w:i w:val="0"/>
          <w:iCs w:val="0"/>
          <w:color w:val="000000"/>
          <w:kern w:val="0"/>
          <w:sz w:val="32"/>
          <w:szCs w:val="32"/>
          <w:u w:val="none"/>
          <w:lang w:val="en-US" w:eastAsia="zh-CN" w:bidi="ar"/>
        </w:rPr>
        <w:t>二、公共服务事项清单（61项）</w:t>
      </w:r>
    </w:p>
    <w:tbl>
      <w:tblPr>
        <w:tblStyle w:val="15"/>
        <w:tblW w:w="1536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23" w:type="dxa"/>
          <w:bottom w:w="0" w:type="dxa"/>
          <w:right w:w="23" w:type="dxa"/>
        </w:tblCellMar>
      </w:tblPr>
      <w:tblGrid>
        <w:gridCol w:w="631"/>
        <w:gridCol w:w="1605"/>
        <w:gridCol w:w="1860"/>
        <w:gridCol w:w="5888"/>
        <w:gridCol w:w="1320"/>
        <w:gridCol w:w="1492"/>
        <w:gridCol w:w="1253"/>
        <w:gridCol w:w="131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59" w:hRule="atLeast"/>
          <w:tblHeader/>
          <w:jc w:val="center"/>
        </w:trPr>
        <w:tc>
          <w:tcPr>
            <w:tcW w:w="6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auto"/>
                <w:sz w:val="21"/>
                <w:szCs w:val="21"/>
                <w:lang w:val="en-US" w:eastAsia="zh-CN" w:bidi="ar-SA"/>
              </w:rPr>
            </w:pPr>
            <w:r>
              <w:rPr>
                <w:rFonts w:hint="eastAsia" w:ascii="方正黑体_GBK" w:hAnsi="方正黑体_GBK" w:eastAsia="方正黑体_GBK" w:cs="方正黑体_GBK"/>
                <w:snapToGrid w:val="0"/>
                <w:color w:val="auto"/>
                <w:sz w:val="21"/>
                <w:szCs w:val="21"/>
                <w:lang w:val="en-US" w:eastAsia="zh-CN" w:bidi="ar-SA"/>
              </w:rPr>
              <w:t>序号</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auto"/>
                <w:sz w:val="21"/>
                <w:szCs w:val="21"/>
                <w:lang w:val="en-US" w:eastAsia="zh-CN" w:bidi="ar-SA"/>
              </w:rPr>
            </w:pPr>
            <w:r>
              <w:rPr>
                <w:rFonts w:hint="eastAsia" w:ascii="方正黑体_GBK" w:hAnsi="方正黑体_GBK" w:eastAsia="方正黑体_GBK" w:cs="方正黑体_GBK"/>
                <w:snapToGrid w:val="0"/>
                <w:color w:val="auto"/>
                <w:sz w:val="21"/>
                <w:szCs w:val="21"/>
                <w:lang w:val="en-US" w:eastAsia="zh-CN" w:bidi="ar-SA"/>
              </w:rPr>
              <w:t>主项名称</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auto"/>
                <w:sz w:val="21"/>
                <w:szCs w:val="21"/>
                <w:lang w:val="en-US" w:eastAsia="zh-CN" w:bidi="ar-SA"/>
              </w:rPr>
            </w:pPr>
            <w:r>
              <w:rPr>
                <w:rFonts w:hint="eastAsia" w:ascii="方正黑体_GBK" w:hAnsi="方正黑体_GBK" w:eastAsia="方正黑体_GBK" w:cs="方正黑体_GBK"/>
                <w:snapToGrid w:val="0"/>
                <w:color w:val="auto"/>
                <w:sz w:val="21"/>
                <w:szCs w:val="21"/>
                <w:lang w:val="en-US" w:eastAsia="zh-CN" w:bidi="ar-SA"/>
              </w:rPr>
              <w:t>子项名称</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auto"/>
                <w:sz w:val="21"/>
                <w:szCs w:val="21"/>
                <w:lang w:val="en-US" w:eastAsia="zh-CN" w:bidi="ar-SA"/>
              </w:rPr>
            </w:pPr>
            <w:r>
              <w:rPr>
                <w:rFonts w:hint="eastAsia" w:ascii="方正黑体_GBK" w:hAnsi="方正黑体_GBK" w:eastAsia="方正黑体_GBK" w:cs="方正黑体_GBK"/>
                <w:snapToGrid w:val="0"/>
                <w:color w:val="auto"/>
                <w:sz w:val="21"/>
                <w:szCs w:val="21"/>
                <w:lang w:val="en-US" w:eastAsia="zh-CN" w:bidi="ar-SA"/>
              </w:rPr>
              <w:t>服务依据</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auto"/>
                <w:sz w:val="21"/>
                <w:szCs w:val="21"/>
                <w:lang w:val="en-US" w:eastAsia="zh-CN" w:bidi="ar-SA"/>
              </w:rPr>
            </w:pPr>
            <w:r>
              <w:rPr>
                <w:rFonts w:hint="eastAsia" w:ascii="方正黑体_GBK" w:hAnsi="方正黑体_GBK" w:eastAsia="方正黑体_GBK" w:cs="方正黑体_GBK"/>
                <w:snapToGrid w:val="0"/>
                <w:color w:val="auto"/>
                <w:sz w:val="21"/>
                <w:szCs w:val="21"/>
                <w:lang w:val="en-US" w:eastAsia="zh-CN" w:bidi="ar-SA"/>
              </w:rPr>
              <w:t>主管部门</w:t>
            </w:r>
          </w:p>
        </w:tc>
        <w:tc>
          <w:tcPr>
            <w:tcW w:w="149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firstLineChars="0"/>
              <w:jc w:val="center"/>
              <w:rPr>
                <w:rFonts w:hint="eastAsia" w:ascii="方正黑体_GBK" w:hAnsi="方正黑体_GBK" w:eastAsia="方正黑体_GBK" w:cs="方正黑体_GBK"/>
                <w:snapToGrid w:val="0"/>
                <w:color w:val="auto"/>
                <w:sz w:val="21"/>
                <w:szCs w:val="21"/>
                <w:lang w:val="en-US" w:eastAsia="zh-CN" w:bidi="ar-SA"/>
              </w:rPr>
            </w:pPr>
            <w:r>
              <w:rPr>
                <w:rFonts w:hint="eastAsia" w:ascii="方正黑体_GBK" w:hAnsi="方正黑体_GBK" w:eastAsia="方正黑体_GBK" w:cs="方正黑体_GBK"/>
                <w:snapToGrid w:val="0"/>
                <w:color w:val="auto"/>
                <w:sz w:val="21"/>
                <w:szCs w:val="21"/>
                <w:lang w:val="en-US" w:eastAsia="zh-CN" w:bidi="ar-SA"/>
              </w:rPr>
              <w:t>实施机关</w:t>
            </w:r>
          </w:p>
        </w:tc>
        <w:tc>
          <w:tcPr>
            <w:tcW w:w="12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firstLineChars="0"/>
              <w:jc w:val="center"/>
              <w:rPr>
                <w:rFonts w:hint="eastAsia" w:ascii="方正黑体_GBK" w:hAnsi="方正黑体_GBK" w:eastAsia="方正黑体_GBK" w:cs="方正黑体_GBK"/>
                <w:snapToGrid w:val="0"/>
                <w:color w:val="auto"/>
                <w:sz w:val="21"/>
                <w:szCs w:val="21"/>
                <w:lang w:val="en-US" w:eastAsia="zh-CN" w:bidi="ar-SA"/>
              </w:rPr>
            </w:pPr>
            <w:r>
              <w:rPr>
                <w:rFonts w:hint="eastAsia" w:ascii="方正黑体_GBK" w:hAnsi="方正黑体_GBK" w:eastAsia="方正黑体_GBK" w:cs="方正黑体_GBK"/>
                <w:snapToGrid w:val="0"/>
                <w:color w:val="auto"/>
                <w:sz w:val="21"/>
                <w:szCs w:val="21"/>
                <w:lang w:val="en-US" w:eastAsia="zh-CN" w:bidi="ar-SA"/>
              </w:rPr>
              <w:t>赋权方式</w:t>
            </w:r>
          </w:p>
        </w:tc>
        <w:tc>
          <w:tcPr>
            <w:tcW w:w="13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after="0" w:line="260" w:lineRule="exact"/>
              <w:ind w:firstLine="0"/>
              <w:jc w:val="center"/>
              <w:rPr>
                <w:rFonts w:hint="eastAsia" w:ascii="方正黑体_GBK" w:hAnsi="方正黑体_GBK" w:eastAsia="方正黑体_GBK" w:cs="方正黑体_GBK"/>
                <w:snapToGrid w:val="0"/>
                <w:color w:val="auto"/>
                <w:sz w:val="21"/>
                <w:szCs w:val="21"/>
                <w:lang w:val="en-US" w:eastAsia="zh-CN" w:bidi="ar-SA"/>
              </w:rPr>
            </w:pPr>
            <w:r>
              <w:rPr>
                <w:rFonts w:hint="eastAsia" w:ascii="方正黑体_GBK" w:hAnsi="方正黑体_GBK" w:eastAsia="方正黑体_GBK" w:cs="方正黑体_GBK"/>
                <w:snapToGrid w:val="0"/>
                <w:color w:val="auto"/>
                <w:sz w:val="21"/>
                <w:szCs w:val="21"/>
                <w:lang w:val="en-US" w:eastAsia="zh-CN" w:bidi="ar-SA"/>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83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就业补贴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灵活就业人员社保补贴申领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【文件】《关于印发就业补助资金管理办法的通知》（财社〔2019〕161号）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w:t>
            </w:r>
            <w:r>
              <w:rPr>
                <w:rFonts w:hint="eastAsia" w:ascii="方正仿宋_GBK" w:hAnsi="方正仿宋_GBK" w:eastAsia="方正仿宋_GBK" w:cs="方正仿宋_GBK"/>
                <w:i w:val="0"/>
                <w:iCs w:val="0"/>
                <w:color w:val="000000"/>
                <w:spacing w:val="-6"/>
                <w:kern w:val="0"/>
                <w:sz w:val="21"/>
                <w:szCs w:val="21"/>
                <w:u w:val="none"/>
                <w:lang w:val="en-US" w:eastAsia="zh-CN" w:bidi="ar"/>
              </w:rPr>
              <w:t>文件】《江苏省就业补助资金管理办法》（苏财社〔2019〕161号）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7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社会保险参保信息变更维护</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个人基本信息变更</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【部门规章】《社会保险个人权益记录管理办法》（中华人民共和国人力资源和社会保障部令第14号）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z w:val="21"/>
                <w:szCs w:val="21"/>
                <w:lang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3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社会保险登记</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灵活就业人员停保登记</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【地方政府规章】《江苏省企业职工基本养老保险规定》（江苏省人民政府令第146号）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z w:val="21"/>
                <w:szCs w:val="21"/>
                <w:lang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2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社会保险登记</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用人单位用工参保登记</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【地方政府规章】《江苏省企业职工基本养老保险规定》（江苏省人民政府令第146号）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z w:val="21"/>
                <w:szCs w:val="21"/>
                <w:lang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85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社会保险登记</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用人单位退工停保登记</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【地方性法规】《江苏省社会保险费征缴条例》（2003年12月19日江苏省第十届人民代表大会常务委员会第七次会议通过，根据2020年7月31日江苏省第十三届人民代表大会常务委员会第十七次会议</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【文件】《省人力资源社会保障厅关于进一步做好就业登记、社会保险登记和劳动用工备案业务协同工作的实施意见》（苏人社函〔2020〕318号）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z w:val="21"/>
                <w:szCs w:val="21"/>
                <w:lang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270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6</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社会保险缴费</w:t>
            </w:r>
          </w:p>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申报</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企业社会保险费延缴申请</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【部门规章】《实施〈中华人民共和国社会保险法〉若干规定》（中华人民共和国人力资源和社会保障部令第13号）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【部门规章】《香港澳门台湾居民在内地（大陆）参加社会保险暂行办法》（中华人民共和国人力资源和社会保障部国家医疗保障局令第41号）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【文件】《省人力资源社会保障厅转发人力资源社会保障部办公厅关于职工基本养老保险关系转移接续有关问题补充通知的通知》（苏人社函〔2019〕391号）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【文件】《省人力资源社会保障厅关于企业职工养老保险有关问题的通知》（苏人社函〔2020〕88号）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81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7</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企业职工基本养老保险服务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企业职工基本养老保险一次性退休待遇审核</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【地方政府规章】《江苏省企业职工基本养老保险规定》（江苏省人民政府令第146号，2021年11月16日经省人民政府第92次常务会议讨论通过，自2022年1月1日起施行）</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35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8</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pacing w:val="-11"/>
                <w:kern w:val="0"/>
                <w:sz w:val="21"/>
                <w:szCs w:val="21"/>
                <w:u w:val="none"/>
                <w:lang w:val="en-US" w:eastAsia="zh-CN" w:bidi="ar"/>
              </w:rPr>
            </w:pPr>
            <w:r>
              <w:rPr>
                <w:rFonts w:hint="eastAsia" w:ascii="方正仿宋_GBK" w:hAnsi="方正仿宋_GBK" w:eastAsia="方正仿宋_GBK" w:cs="方正仿宋_GBK"/>
                <w:i w:val="0"/>
                <w:iCs w:val="0"/>
                <w:color w:val="000000"/>
                <w:spacing w:val="-11"/>
                <w:kern w:val="0"/>
                <w:sz w:val="21"/>
                <w:szCs w:val="21"/>
                <w:u w:val="none"/>
                <w:lang w:val="en-US" w:eastAsia="zh-CN" w:bidi="ar"/>
              </w:rPr>
              <w:t>基本养老保险关系制度内转移接续</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企业职工基本养老保险关系转移接续</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【文件】《国务院办公厅关于转发人力资源社会保障部财政部城镇企业职工基本养老保险关系转移接续暂行办法的通知》（国办发〔2009〕66号）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【文件】《人力资资源社会保障部办公厅关于进一步做好养老保险</w:t>
            </w:r>
            <w:r>
              <w:rPr>
                <w:rFonts w:hint="eastAsia" w:ascii="方正仿宋_GBK" w:hAnsi="方正仿宋_GBK" w:eastAsia="方正仿宋_GBK" w:cs="方正仿宋_GBK"/>
                <w:i w:val="0"/>
                <w:iCs w:val="0"/>
                <w:color w:val="000000"/>
                <w:spacing w:val="-6"/>
                <w:kern w:val="0"/>
                <w:sz w:val="21"/>
                <w:szCs w:val="21"/>
                <w:u w:val="none"/>
                <w:lang w:val="en-US" w:eastAsia="zh-CN" w:bidi="ar"/>
              </w:rPr>
              <w:t>关系转移接续经办服务工作的通知》（人社厅函〔2019〕185号）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97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9</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pacing w:val="-11"/>
                <w:kern w:val="0"/>
                <w:sz w:val="21"/>
                <w:szCs w:val="21"/>
                <w:u w:val="none"/>
                <w:lang w:val="en-US" w:eastAsia="zh-CN" w:bidi="ar"/>
              </w:rPr>
            </w:pPr>
            <w:r>
              <w:rPr>
                <w:rFonts w:hint="eastAsia" w:ascii="方正仿宋_GBK" w:hAnsi="方正仿宋_GBK" w:eastAsia="方正仿宋_GBK" w:cs="方正仿宋_GBK"/>
                <w:i w:val="0"/>
                <w:iCs w:val="0"/>
                <w:color w:val="000000"/>
                <w:spacing w:val="-11"/>
                <w:kern w:val="0"/>
                <w:sz w:val="21"/>
                <w:szCs w:val="21"/>
                <w:u w:val="none"/>
                <w:lang w:val="en-US" w:eastAsia="zh-CN" w:bidi="ar"/>
              </w:rPr>
              <w:t>基本养老保险关系跨制度转移接续</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企业职工基本养老保险转城乡居民基本养老保险（转出办理）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【文件】《人力资源社会保障部财政部关于印发〈城乡养老保险制度衔接暂行办法〉的通知》（人社部发〔2014〕17号）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【文件】《人力资源社会保障部办公厅关于贯彻实施〈城乡养老保险制度衔接暂行办法〉有关问题的通知》（人社厅〔2014〕25号）附件2《城乡养老保险制度衔接经办规程（试行）》</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w:t>
            </w:r>
            <w:r>
              <w:rPr>
                <w:rFonts w:hint="eastAsia" w:ascii="方正仿宋_GBK" w:hAnsi="方正仿宋_GBK" w:eastAsia="方正仿宋_GBK" w:cs="方正仿宋_GBK"/>
                <w:i w:val="0"/>
                <w:iCs w:val="0"/>
                <w:color w:val="000000"/>
                <w:spacing w:val="-6"/>
                <w:kern w:val="0"/>
                <w:sz w:val="21"/>
                <w:szCs w:val="21"/>
                <w:u w:val="none"/>
                <w:lang w:val="en-US" w:eastAsia="zh-CN" w:bidi="ar"/>
              </w:rPr>
              <w:t>省人力资源和社会保障厅省财政厅关于印发〈江苏省城乡养老保险制度衔接实施意见〉的通知》（苏人社发〔2014〕206号）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983"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10</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spacing w:val="-11"/>
                <w:kern w:val="0"/>
                <w:sz w:val="21"/>
                <w:szCs w:val="21"/>
                <w:u w:val="none"/>
                <w:lang w:val="en-US" w:eastAsia="zh-CN" w:bidi="ar"/>
              </w:rPr>
            </w:pPr>
            <w:r>
              <w:rPr>
                <w:rFonts w:hint="eastAsia" w:ascii="方正仿宋_GBK" w:hAnsi="方正仿宋_GBK" w:eastAsia="方正仿宋_GBK" w:cs="方正仿宋_GBK"/>
                <w:i w:val="0"/>
                <w:iCs w:val="0"/>
                <w:color w:val="000000"/>
                <w:spacing w:val="-11"/>
                <w:kern w:val="0"/>
                <w:sz w:val="21"/>
                <w:szCs w:val="21"/>
                <w:u w:val="none"/>
                <w:lang w:val="en-US" w:eastAsia="zh-CN" w:bidi="ar"/>
              </w:rPr>
              <w:t>基本养老保险关系跨制度转移接续</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城乡居民基本养老保险转企业职工基本养老保险（转入办理）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【文件】《人力资源社会保障部财政部关于印发〈城乡养老保险制度衔接暂行办法〉的通知》（人社部发〔2014〕17号）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【文件】《人力资源社会保障部办公厅关于贯彻实施〈城乡养老保险制度衔接暂行办法〉有关问题的通知》（人社厅〔2014〕25号）附件2《城乡养老保险制度衔接经办规程（试行）》</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【文件】《省人力资源和社会保障厅省财政厅关于印发〈江苏省城乡养老保险制度衔接实施意见〉的通知》（苏人社发〔2014〕206号）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86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11</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失业保险服务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失业保险关系转入</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【地方政府规章】《江苏省失业保险规定》（省政府令第72号，2011年4月28日经江苏省人民政府第66次常务会议讨论通过，自2011年7月1日起施行）</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86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12</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失业保险服务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失业保险关系转出</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【地方政府规章】《江苏省失业保险规定》（省政府令第72号，2011年4月28日经省人民政府第66次常务会议讨论通过，自2011年7月1日起施行）</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2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13</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工伤保险服务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异地居住就医申请确认</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【文件】《关于印发工伤保险经办规程的通知》（人社部发〔2012〕11号）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4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14</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工伤保险服务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转诊转院申请确认</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【文件】《关于印发工伤保险经办规程的通知》（人社部发〔2012〕11号）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6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43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15</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社会保险参保信息变更维护</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单位（项目）基本信息变更</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4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【文件】《关于印发〈基本养老保险经办业务规程（试行）〉的通知》（劳社险中心函〔2003〕38号）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【地方</w:t>
            </w:r>
            <w:r>
              <w:rPr>
                <w:rFonts w:hint="eastAsia" w:ascii="方正仿宋_GBK" w:hAnsi="方正仿宋_GBK" w:eastAsia="方正仿宋_GBK" w:cs="方正仿宋_GBK"/>
                <w:i w:val="0"/>
                <w:iCs w:val="0"/>
                <w:color w:val="000000"/>
                <w:spacing w:val="-11"/>
                <w:kern w:val="0"/>
                <w:sz w:val="21"/>
                <w:szCs w:val="21"/>
                <w:u w:val="none"/>
                <w:lang w:val="en-US" w:eastAsia="zh-CN" w:bidi="ar"/>
              </w:rPr>
              <w:t>性法规】《江苏省社会保险费征缴条例》（2003年12月19日江苏省第十届人民代表大会常务委员会第七次会议通过，根据2020年7月31日江苏省第十三届人民代表大会常务委员会第十七次会议</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56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16</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社会保险登记</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企业社会保险注销</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4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【地方性法规】《江苏省社会保险费征缴条例》（2003年12月19日江苏省第十届人民代表大会常务委员会第七次会议通过，根据2020年7月31日江苏省第十三届人民代表大会常务委员会第十七次会议</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【地方政府规章】《江苏省企业职工基本养老保险规定》（江苏省人民政府令第36号）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61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17</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社会保险登记</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企业社会保险登记</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4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【地方性法规】《江苏省社会保险费征缴条例》（2003年12月19日江苏省第十届人民代表大会常务委员会第七次会议通过，根据2020年7月31日江苏省第十三届人民代表大会常务委员会第十七次会议</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【地方政府规章】《江苏省企业职工基本养老保险规定》（江苏省人民政府令第36号）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63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18</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社会保险登记</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工程建设项目办理工伤保险参保登记</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4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【文件】《关于进一步做好建筑业工伤保险工作的意见》（人社部发〔2014〕103号）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【文件】《关于铁路、公路、水运、水利、能源、机场工程建设项目参加工伤保险工作的通知》（人社部发〔2018〕3号）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【文件】《关于印发建筑业按项目参加工伤保险经办规程（试行）的通知》（人社险中心函〔2015〕38号）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7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19</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社会保险登记</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工程建设项目工伤保险参保登记变更</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【文件】《关于印发建筑业按项目参加工伤保险经办规程（试行）的通知》（人社险中心函〔2015〕38号）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20</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社会保险登记</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劳务派遣用工调转</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【文件】《省人力资源社会保障厅关于进一步做好就业登记、社会保险登记和劳动用工备案业务协同工作的实施意见》（苏人社函〔2020〕318号）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83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21</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社会保险缴费申报</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企业职工社会保险缴费基数申报</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【部门规章】《社会保险费申报缴纳管理规定》（中华人民共和国人力资源和社会保障部令第20号）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【文件】《省政府关于规范企业职工基本养老保险省级统筹制度的意见》（苏政发〔2020〕45号）附件1</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191"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22</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社会保险缴费申报</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企业职工社会保险缴费基数调整</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【部门规章】《社会保险费申报缴纳管理规定》（中华人民共和国人力资源和社会保障部令第20号）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第五条 职工应缴纳的社会保险费由用人单位代为申报。代职工申报的事项包括：职工姓名、社会保障号码、用工类型、联系地址、代扣代缴明细等。用人单位代职工申报的缴费明细以及变动情况应当经职工本人签字认可，由用人单位留存备查。</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4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23</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社会保障卡密码修改与重置</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【文件】《省人力资源社会保障厅关于印发江苏省社会保障卡业务经办规程（试行）的通知》（苏人社发〔2020〕150号）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24</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社会保障卡换卡</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【文件】《省人力资源社会保障厅关于印发江苏省社会保障卡业务经办规程（试行）的通知》（苏人社发〔2020〕150号）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1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25</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社会保障卡正式挂失与解挂</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【文件】《省人力资源社会保障厅关于印发江苏省社会保障卡业务经办规程（试行）的通知》（苏人社发〔2020〕150号）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both"/>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仅限人社功能挂失与解挂，金融功能挂失与解挂前往社保卡所属合作银行办理。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71"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26</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社会保障卡注销</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【文件】《省人力资源社会保障厅关于印发江苏省社会保障卡业务经办规程（试行）的通知》（苏人社发〔2020〕150号）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4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27</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社会保障卡申领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【文件】《省人力资源社会保障厅关于印发江苏省社会保障卡业务经办规程（试行）的通知》（苏人社发〔2020〕150号）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63"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28</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社会保障卡补卡</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【文件】《省人力资源社会保障厅关于印发江苏省社会保障卡业务经办规程（试行）的通知》（苏人社发〔2020〕150号）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16"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29</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企业职工职业技能培训补贴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color w:val="000000"/>
                <w:sz w:val="21"/>
                <w:szCs w:val="21"/>
                <w:lang w:bidi="ar"/>
              </w:rPr>
              <w:t>企业新型学徒制培训</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【文件】《省财政厅省人力资源和社会保障厅关于印发〈江苏省就业补助资金管理办法〉的通知》（苏财社〔2019〕161号）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37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30</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企业职工职业技能培训补贴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color w:val="000000"/>
                <w:sz w:val="21"/>
                <w:szCs w:val="21"/>
                <w:lang w:bidi="ar"/>
              </w:rPr>
              <w:t>高级技师岗位技能提升培训</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left"/>
              <w:textAlignment w:val="center"/>
              <w:rPr>
                <w:rFonts w:hint="eastAsia" w:ascii="方正仿宋_GBK" w:hAnsi="方正仿宋_GBK" w:eastAsia="方正仿宋_GBK" w:cs="方正仿宋_GBK"/>
                <w:i w:val="0"/>
                <w:iCs w:val="0"/>
                <w:color w:val="auto"/>
                <w:kern w:val="0"/>
                <w:sz w:val="21"/>
                <w:szCs w:val="21"/>
                <w:u w:val="none"/>
                <w:lang w:val="en-US" w:eastAsia="zh-CN" w:bidi="ar"/>
              </w:rPr>
            </w:pPr>
            <w:r>
              <w:rPr>
                <w:rFonts w:hint="eastAsia" w:ascii="方正仿宋_GBK" w:hAnsi="方正仿宋_GBK" w:eastAsia="方正仿宋_GBK" w:cs="方正仿宋_GBK"/>
                <w:color w:val="auto"/>
                <w:sz w:val="21"/>
                <w:szCs w:val="21"/>
                <w:lang w:bidi="ar"/>
              </w:rPr>
              <w:t>【文件】《省财政厅省人力资源和社会保障厅关于印发〈江苏省就业补助资金管理办法〉的通知》（苏财社〔2019〕161号）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37"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31</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企业职工职业技能培训补贴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color w:val="000000"/>
                <w:sz w:val="21"/>
                <w:szCs w:val="21"/>
                <w:lang w:bidi="ar"/>
              </w:rPr>
              <w:t>紧缺型高技能人才获证培训</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left"/>
              <w:textAlignment w:val="center"/>
              <w:rPr>
                <w:rFonts w:hint="eastAsia" w:ascii="方正仿宋_GBK" w:hAnsi="方正仿宋_GBK" w:eastAsia="方正仿宋_GBK" w:cs="方正仿宋_GBK"/>
                <w:i w:val="0"/>
                <w:iCs w:val="0"/>
                <w:color w:val="auto"/>
                <w:kern w:val="0"/>
                <w:sz w:val="21"/>
                <w:szCs w:val="21"/>
                <w:u w:val="none"/>
                <w:lang w:val="en-US" w:eastAsia="zh-CN" w:bidi="ar"/>
              </w:rPr>
            </w:pPr>
            <w:r>
              <w:rPr>
                <w:rFonts w:hint="eastAsia" w:ascii="方正仿宋_GBK" w:hAnsi="方正仿宋_GBK" w:eastAsia="方正仿宋_GBK" w:cs="方正仿宋_GBK"/>
                <w:color w:val="auto"/>
                <w:sz w:val="21"/>
                <w:szCs w:val="21"/>
                <w:lang w:bidi="ar"/>
              </w:rPr>
              <w:t>【文件】《省财政厅省人力资源和社会保障厅关于印发〈江苏省就业补助资金管理办法〉的通知》（苏财社〔2019〕161号）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7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32</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企业职工职业技能培训补贴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color w:val="000000"/>
                <w:sz w:val="21"/>
                <w:szCs w:val="21"/>
                <w:lang w:bidi="ar"/>
              </w:rPr>
              <w:t>职工项目制培训</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【文件】《省财政厅省人力资源和社会保障厅关于印发〈江苏省就业补助资金管理办法〉的通知》（苏财社〔2019〕161号）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6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33</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企业职工职业技能培训补贴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color w:val="000000"/>
                <w:sz w:val="21"/>
                <w:szCs w:val="21"/>
                <w:lang w:bidi="ar"/>
              </w:rPr>
              <w:t>转岗转业培训</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left"/>
              <w:textAlignment w:val="center"/>
              <w:rPr>
                <w:rFonts w:hint="eastAsia" w:ascii="方正仿宋_GBK" w:hAnsi="方正仿宋_GBK" w:eastAsia="方正仿宋_GBK" w:cs="方正仿宋_GBK"/>
                <w:i w:val="0"/>
                <w:iCs w:val="0"/>
                <w:color w:val="auto"/>
                <w:kern w:val="0"/>
                <w:sz w:val="21"/>
                <w:szCs w:val="21"/>
                <w:u w:val="none"/>
                <w:lang w:val="en-US" w:eastAsia="zh-CN" w:bidi="ar"/>
              </w:rPr>
            </w:pPr>
            <w:r>
              <w:rPr>
                <w:rFonts w:hint="eastAsia" w:ascii="方正仿宋_GBK" w:hAnsi="方正仿宋_GBK" w:eastAsia="方正仿宋_GBK" w:cs="方正仿宋_GBK"/>
                <w:color w:val="auto"/>
                <w:sz w:val="21"/>
                <w:szCs w:val="21"/>
                <w:lang w:bidi="ar"/>
              </w:rPr>
              <w:t>【文件】《省财政厅省人力资源和社会保障厅关于印发〈江苏省就业补助资金管理办法〉的通知》（苏财社〔2019〕161号）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0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34</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企业职工职业技能培训补贴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color w:val="000000"/>
                <w:sz w:val="21"/>
                <w:szCs w:val="21"/>
                <w:lang w:bidi="ar"/>
              </w:rPr>
              <w:t>高技能人才海外培训</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【文件】《省财政厅省人力资源和社会保障厅关于印发〈江苏省就业补助资金管理办法〉的通知》（苏财社〔2019〕161号）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40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35</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劳动人事争议调解仲裁</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劳动人事争议调解申请</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【法律】《劳动争议调解仲裁法》（中华人民共和国主席令第八十号，中华人民共和国第十届全国人民代表大会常务委员会第三十</w:t>
            </w:r>
            <w:r>
              <w:rPr>
                <w:rFonts w:hint="eastAsia" w:ascii="方正仿宋_GBK" w:hAnsi="方正仿宋_GBK" w:eastAsia="方正仿宋_GBK" w:cs="方正仿宋_GBK"/>
                <w:i w:val="0"/>
                <w:iCs w:val="0"/>
                <w:color w:val="000000"/>
                <w:spacing w:val="-6"/>
                <w:kern w:val="0"/>
                <w:sz w:val="21"/>
                <w:szCs w:val="21"/>
                <w:u w:val="none"/>
                <w:lang w:val="en-US" w:eastAsia="zh-CN" w:bidi="ar"/>
              </w:rPr>
              <w:t>一次会议于2007年12月29日通过，自2008年5月1日起施行）</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【部门规章】《劳动人事争议仲裁办案规则》（中华人民共和国人力资源和社会保障部令第33号，2017年4月24日人力资源社会保障部第123次部务会审议通过，自2017年7月1日起施行）</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393"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36</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spacing w:val="-11"/>
                <w:kern w:val="0"/>
                <w:sz w:val="21"/>
                <w:szCs w:val="21"/>
                <w:u w:val="none"/>
                <w:lang w:val="en-US" w:eastAsia="zh-CN" w:bidi="ar"/>
              </w:rPr>
              <w:t>劳动监察投诉举报</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劳</w:t>
            </w:r>
            <w:r>
              <w:rPr>
                <w:rFonts w:hint="eastAsia" w:ascii="方正仿宋_GBK" w:hAnsi="方正仿宋_GBK" w:eastAsia="方正仿宋_GBK" w:cs="方正仿宋_GBK"/>
                <w:i w:val="0"/>
                <w:iCs w:val="0"/>
                <w:color w:val="000000"/>
                <w:spacing w:val="-6"/>
                <w:kern w:val="0"/>
                <w:sz w:val="21"/>
                <w:szCs w:val="21"/>
                <w:u w:val="none"/>
                <w:lang w:val="en-US" w:eastAsia="zh-CN" w:bidi="ar"/>
              </w:rPr>
              <w:t>动保障监察投诉举报登记、调查、处理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【行政法规】《劳动保障监察条例》（中华人民共和国国务院令第423号）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color w:val="000000"/>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753"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37</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职业介绍和职业指导</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招聘会展位预订</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【法律】《就业促进法》（中华人民共和国主席令第七十号，2007年8月30日第十届全国人民代表大会常务委员会第二十九次会议通过，2015年4月24日第十二届全国人民代表大会常务委员会第十四次会议修订）</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1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38</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高校毕业生等青年就业服务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个人就业见习岗位申请</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【文件】《关于实施百万就业见习岗位募集计划的通知》（苏人社发〔2022〕57号）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受理初审下放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94"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39</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高校毕业生等青年就业服务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就业见习岗位发布</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【文件】《关于实施百万就业见习岗位募集计划的通知》（苏人社发〔2022〕57号）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39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40</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高校毕业生等青年就业服务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求职创业补贴申领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【文件】《关于印发就业补助资金管理办法的通知》（财社〔2017〕164号）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受理初审下放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11"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41</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高校毕业生等青年就业服务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spacing w:val="-6"/>
                <w:kern w:val="0"/>
                <w:sz w:val="21"/>
                <w:szCs w:val="21"/>
                <w:u w:val="none"/>
                <w:lang w:val="en-US" w:eastAsia="zh-CN" w:bidi="ar"/>
              </w:rPr>
              <w:t>高校毕业生求职登记</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【行政法规】《人力资源市场暂行条例》（中华人民共和国国务院令第700号）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03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42</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就业失业登记</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失业登记</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【法律】《就业促进法》（2007年8月30日第十届全国人民代表大会常务委员会第二十九次会议通过，2015年4月24日第十二届全国人民代表大会常务委员会第十四次会议修订）</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【部门规章】《就业服务与就业管理规定》（中华人民共和国人力资源和社会保障部令第23号）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spacing w:val="-11"/>
                <w:kern w:val="0"/>
                <w:sz w:val="21"/>
                <w:szCs w:val="21"/>
                <w:u w:val="none"/>
                <w:lang w:val="en-US" w:eastAsia="zh-CN" w:bidi="ar"/>
              </w:rPr>
              <w:t>【文件】《江苏省就业和失业登记管理办法》（苏人社规〔2019〕2号）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17"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43</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就业补贴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一次性见习补贴申领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【文件】《关于聚焦富民持续提高城乡居民收入水平的若干意见》（苏发〔2016〕49号）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受理初审下放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305"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44</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就业补贴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单位吸纳就业困难人员社保补贴申领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【法律】《就业促进法》（2007年8月30日第十届全国人民代表大会常务委员会第二十九次会议通过，2015年4月24日第十二届全国人民代表大会常务委员会第十四次会议修订）</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【文件】《关于印发就业补助资金管理办法的通知》（财社〔2017〕164号）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【地方政府规章】《江苏省实施〈中华人民共和国就业促进法〉办法》（省政府令第53号，2008年12月29日经省人民政府第23次常务会议讨论通过，自2009年2月1日起施行）</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lang w:bidi="ar"/>
              </w:rPr>
              <w:t>受理初审下放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51"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45</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就业补贴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就业服务社会组织就业创业服务补助申领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【文件】《关于印发就业补助资金管理办法的通知》（财社〔2017〕164号）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spacing w:val="-11"/>
                <w:kern w:val="0"/>
                <w:sz w:val="21"/>
                <w:szCs w:val="21"/>
                <w:u w:val="none"/>
                <w:lang w:val="en-US" w:eastAsia="zh-CN" w:bidi="ar"/>
              </w:rPr>
              <w:t>【文件】《江苏省就业补助资金管理办法》（苏财社〔2019〕161号）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457"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46</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就业补贴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技能提升补贴申领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【文件】《关于失业保险支持参保职工提升职业技能有关问题的通知》（人社部发〔2017〕40号）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359"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47</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就业补贴</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spacing w:val="-11"/>
                <w:kern w:val="0"/>
                <w:sz w:val="21"/>
                <w:szCs w:val="21"/>
                <w:u w:val="none"/>
                <w:lang w:val="en-US" w:eastAsia="zh-CN" w:bidi="ar"/>
              </w:rPr>
              <w:t>用人单位公益性岗位补贴和社保补贴申领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left"/>
              <w:textAlignment w:val="center"/>
              <w:rPr>
                <w:rFonts w:hint="eastAsia" w:ascii="方正仿宋_GBK" w:hAnsi="方正仿宋_GBK" w:eastAsia="方正仿宋_GBK" w:cs="方正仿宋_GBK"/>
                <w:i w:val="0"/>
                <w:iCs w:val="0"/>
                <w:color w:val="auto"/>
                <w:kern w:val="0"/>
                <w:sz w:val="21"/>
                <w:szCs w:val="21"/>
                <w:u w:val="none"/>
                <w:lang w:val="en-US" w:eastAsia="zh-CN" w:bidi="ar"/>
              </w:rPr>
            </w:pPr>
            <w:r>
              <w:rPr>
                <w:rFonts w:hint="eastAsia" w:ascii="方正仿宋_GBK" w:hAnsi="方正仿宋_GBK" w:eastAsia="方正仿宋_GBK" w:cs="方正仿宋_GBK"/>
                <w:color w:val="auto"/>
                <w:sz w:val="21"/>
                <w:szCs w:val="21"/>
                <w:lang w:bidi="ar"/>
              </w:rPr>
              <w:t>【文件】</w:t>
            </w:r>
            <w:r>
              <w:rPr>
                <w:rFonts w:hint="eastAsia" w:ascii="方正仿宋_GBK" w:hAnsi="方正仿宋_GBK" w:eastAsia="方正仿宋_GBK" w:cs="方正仿宋_GBK"/>
                <w:color w:val="auto"/>
                <w:sz w:val="21"/>
                <w:szCs w:val="21"/>
              </w:rPr>
              <w:t>关于印发江苏省就业补助资金管理办法的通知》（苏财社〔2019〕161号）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46"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48</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职业介绍和职业指导</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个人求职登记</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【法律】《就业促进法》（中华人民共和国主席令第七十号，2007年8月30日第十届全国人民代表大会常务委员会第二十九次会议通过，2015年4月24日第十二届全国人民代表大会常务委员会第十四次会议修订）</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52"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49</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职业介绍和职业指导</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color w:val="000000"/>
                <w:sz w:val="21"/>
                <w:szCs w:val="21"/>
                <w:lang w:bidi="ar"/>
              </w:rPr>
              <w:t>单位网络招聘</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【法律】《就业促进法》（中华人民共和国主席令第七十号，2007年8月30日第十届全国人民代表大会常务委员会第二十九次会议通过，2015年4月24日第十二届全国人民代表大会常务委员会第十四次会议修订）</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758"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50</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职业介绍和职业指导</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职业介绍</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【法律】《就业促进法》（中华人民共和国主席令第七十号，2007年8月30日第十届全国人民代表大会常务委员会第二十九次会议通过，2015年4月24日第十二届全国人民代表大会常务委员会第十四次会议修订）</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2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51</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职业介绍和职业指导</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职业指导</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【法律】《就业促进法》（中华人民共和国主席令第七十号，2007年8月30日第十届全国人民代表大会常务委员会第二十九次会议通过，2015年4月24日第十二届全国人民代表大会常务委员会第十四次会议修订）</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人力资源和社会保障局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r>
              <w:rPr>
                <w:rFonts w:hint="eastAsia" w:ascii="方正仿宋_GBK" w:hAnsi="方正仿宋_GBK" w:eastAsia="方正仿宋_GBK" w:cs="方正仿宋_GBK"/>
                <w:sz w:val="21"/>
                <w:szCs w:val="21"/>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21"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52</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基本医疗保险关系转移接续</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出具《参保凭证》</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【法律】《中华人民共和国社会保险法》（主席令第35号）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第三十二条 个人跨统筹地区就业的,其基本医疗保险关系随本人转移，缴费年限累计计算。</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委托行权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97"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53</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基本医疗保险关系转移接续</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转移接续手续办理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【法律】《中华人民共和国社会保险法》（主席令第35号）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第三十二条 个人跨统筹地区就业的,其基本医疗保险关系随本人转移，缴费年限累计计算。</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627"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54</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医药机构申请定点协议管理</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零售药店申请定点协议管理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【法律】《中华人民共和国社会保险法》（主席令第35号）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【行政法规】《零售药店医疗保障定点管理暂行办法》（国家医疗保障局令第3号）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55</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医药机构申请定点协议管理</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医疗机构申请定点协议管理</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【法律】《中华人民共和国社会保险法》（主席令第35号）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【部门规章】《医疗机构医疗保障定点管理暂行办法》（国家医疗保障局令第2号）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591"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56</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医药机构申请定点协议管理</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定点医药机构基础信息变更</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【法律】《中华人民共和国社会保险法》（主席令第35号）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【部门规章】《医疗机构医疗保障定点管理暂行办法》（国家医疗保障局令第2号）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82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57</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基本医疗保险参保人员享受门诊慢特病病种待遇认定</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特药待遇认定</w:t>
            </w: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【法律】《社会保险法》（主席令第35号）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【文件】《国家医保谈判药品“双通道”管理及单独支付药品经办规程（试行）》（苏医保发〔2021〕48号）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【文件】《关于妥善解决医疗保险制度改革有关问题的指导意见》（劳社厅发〔2002〕8号）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【文件】《关于抓紧做好国家医保谈判药品“双通道“管理及单独支付药品经办管理有关工作的通知》（苏医保函〔2021〕181号）</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【文件】《江苏省医疗保障经办服务规范》（苏医保发〔2020〕101号）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sz w:val="21"/>
                <w:szCs w:val="21"/>
                <w:lang w:val="en-US" w:eastAsia="zh-CN" w:bidi="ar"/>
              </w:rPr>
            </w:pPr>
            <w:r>
              <w:rPr>
                <w:rFonts w:hint="eastAsia" w:ascii="方正仿宋_GBK" w:hAnsi="方正仿宋_GBK" w:eastAsia="方正仿宋_GBK" w:cs="方正仿宋_GBK"/>
                <w:sz w:val="21"/>
                <w:szCs w:val="21"/>
                <w:lang w:val="en-US" w:eastAsia="zh-CN"/>
              </w:rPr>
              <w:t>市</w:t>
            </w:r>
            <w:r>
              <w:rPr>
                <w:rFonts w:hint="eastAsia" w:ascii="方正仿宋_GBK" w:hAnsi="方正仿宋_GBK" w:eastAsia="方正仿宋_GBK" w:cs="方正仿宋_GBK"/>
                <w:i w:val="0"/>
                <w:iCs w:val="0"/>
                <w:color w:val="000000"/>
                <w:kern w:val="0"/>
                <w:sz w:val="21"/>
                <w:szCs w:val="21"/>
                <w:u w:val="none"/>
                <w:lang w:val="en-US" w:eastAsia="zh-CN" w:bidi="ar"/>
              </w:rPr>
              <w:t>医疗保障局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1241"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58</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残疾人机动轮椅车燃油补贴申请</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地方性法规】《江苏省残疾人保障条例》（2012年11月29日江苏省第十一届人民代表大会常务委员会第三十一次会议通过，根据2021年9月29日江苏省第十三届人民代表大会常务委员会第二十五次会议《关于修改〈江苏省河道管理条例〉等二十九件地方性法规的决定》修正）</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【文件】《省残联办公室关于印发残疾人机动轮椅车燃油补贴、残疾学生教育补贴、残疾人自主创业补贴发放流程规范的通知》（苏残办发〔2021〕8号）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残疾人</w:t>
            </w:r>
          </w:p>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联合会</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县（区）残疾人联合会</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snapToGrid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360"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59</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法律援助</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【部门规章】《办理法律援助案件程序规定》(中华人民共和国司 法部令第124号)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司法局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spacing w:line="220" w:lineRule="exact"/>
              <w:ind w:left="0" w:leftChars="0" w:firstLine="0" w:firstLineChars="0"/>
              <w:jc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市司法局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spacing w:line="220" w:lineRule="exact"/>
              <w:ind w:left="0" w:leftChars="0" w:firstLine="0" w:firstLineChars="0"/>
              <w:jc w:val="center"/>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i w:val="0"/>
                <w:iCs w:val="0"/>
                <w:color w:val="000000"/>
                <w:kern w:val="0"/>
                <w:sz w:val="21"/>
                <w:szCs w:val="21"/>
                <w:u w:val="none"/>
                <w:lang w:val="en-US" w:eastAsia="zh-CN" w:bidi="ar"/>
              </w:rPr>
              <w:t>直接赋权</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946"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60</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特定对象公证减免费 服务</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【法律】《中华人民共和国公证法(2017 修正)》(中华人民共和 国主席令第 76 号，由中华人民共和国第十届全国人民代表大会常务 委员会第十七次会议于 2005年8月28日通过，自2006年 3月1日起施行)</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司法局</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20" w:lineRule="exact"/>
              <w:ind w:left="0" w:leftChars="0" w:firstLine="0" w:firstLineChars="0"/>
              <w:jc w:val="center"/>
              <w:textAlignment w:val="auto"/>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市司法局</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val="0"/>
              <w:spacing w:line="220" w:lineRule="exact"/>
              <w:ind w:left="0" w:leftChars="0" w:firstLine="0" w:firstLineChars="0"/>
              <w:jc w:val="center"/>
              <w:textAlignment w:val="auto"/>
              <w:rPr>
                <w:rFonts w:hint="eastAsia" w:ascii="方正仿宋_GBK" w:hAnsi="方正仿宋_GBK" w:eastAsia="方正仿宋_GBK" w:cs="方正仿宋_GBK"/>
                <w:snapToGrid w:val="0"/>
                <w:sz w:val="21"/>
                <w:szCs w:val="21"/>
                <w:lang w:val="en-US" w:eastAsia="zh-CN" w:bidi="ar-SA"/>
              </w:rPr>
            </w:pPr>
            <w:r>
              <w:rPr>
                <w:rFonts w:hint="eastAsia" w:ascii="方正仿宋_GBK" w:hAnsi="方正仿宋_GBK" w:eastAsia="方正仿宋_GBK" w:cs="方正仿宋_GBK"/>
                <w:i w:val="0"/>
                <w:iCs w:val="0"/>
                <w:color w:val="000000"/>
                <w:kern w:val="0"/>
                <w:sz w:val="21"/>
                <w:szCs w:val="21"/>
                <w:u w:val="none"/>
                <w:lang w:val="en-US" w:eastAsia="zh-CN" w:bidi="ar"/>
              </w:rPr>
              <w:t>受理初审权下放</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3" w:type="dxa"/>
            <w:bottom w:w="0" w:type="dxa"/>
            <w:right w:w="23" w:type="dxa"/>
          </w:tblCellMar>
        </w:tblPrEx>
        <w:trPr>
          <w:trHeight w:val="741" w:hRule="atLeast"/>
          <w:jc w:val="center"/>
        </w:trPr>
        <w:tc>
          <w:tcPr>
            <w:tcW w:w="6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default"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61</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个人信用报告查询</w:t>
            </w:r>
          </w:p>
        </w:tc>
        <w:tc>
          <w:tcPr>
            <w:tcW w:w="18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p>
        </w:tc>
        <w:tc>
          <w:tcPr>
            <w:tcW w:w="58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left"/>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 xml:space="preserve">【行政法规】《征信业管理条例》（国务院令第631号） </w:t>
            </w:r>
            <w:r>
              <w:rPr>
                <w:rFonts w:hint="eastAsia" w:ascii="方正仿宋_GBK" w:hAnsi="方正仿宋_GBK" w:eastAsia="方正仿宋_GBK" w:cs="方正仿宋_GBK"/>
                <w:i w:val="0"/>
                <w:iCs w:val="0"/>
                <w:color w:val="000000"/>
                <w:kern w:val="0"/>
                <w:sz w:val="21"/>
                <w:szCs w:val="21"/>
                <w:u w:val="none"/>
                <w:lang w:val="en-US" w:eastAsia="zh-CN" w:bidi="ar"/>
              </w:rPr>
              <w:br w:type="textWrapping"/>
            </w:r>
            <w:r>
              <w:rPr>
                <w:rFonts w:hint="eastAsia" w:ascii="方正仿宋_GBK" w:hAnsi="方正仿宋_GBK" w:eastAsia="方正仿宋_GBK" w:cs="方正仿宋_GBK"/>
                <w:i w:val="0"/>
                <w:iCs w:val="0"/>
                <w:color w:val="000000"/>
                <w:kern w:val="0"/>
                <w:sz w:val="21"/>
                <w:szCs w:val="21"/>
                <w:u w:val="none"/>
                <w:lang w:val="en-US" w:eastAsia="zh-CN" w:bidi="ar"/>
              </w:rPr>
              <w:t>【文件】《中国人民银行征信中心关于印发企业及个人信用报告查询和异议处理业务规程的通知》（银征信中心〔2013〕97号）</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jc w:val="center"/>
              <w:textAlignment w:val="center"/>
              <w:rPr>
                <w:rFonts w:hint="eastAsia" w:ascii="方正仿宋_GBK" w:hAnsi="方正仿宋_GBK" w:eastAsia="方正仿宋_GBK" w:cs="方正仿宋_GBK"/>
                <w:i w:val="0"/>
                <w:iCs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中国人民银行宿迁市中心支行</w:t>
            </w:r>
          </w:p>
        </w:tc>
        <w:tc>
          <w:tcPr>
            <w:tcW w:w="14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snapToGrid w:val="0"/>
                <w:color w:val="000000"/>
                <w:kern w:val="0"/>
                <w:sz w:val="21"/>
                <w:szCs w:val="21"/>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中国人民银行宿迁市中心支行</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20" w:lineRule="exact"/>
              <w:ind w:firstLine="0" w:firstLineChars="0"/>
              <w:jc w:val="center"/>
              <w:textAlignment w:val="center"/>
              <w:rPr>
                <w:rFonts w:hint="eastAsia" w:ascii="方正仿宋_GBK" w:hAnsi="方正仿宋_GBK" w:eastAsia="方正仿宋_GBK" w:cs="方正仿宋_GBK"/>
                <w:i w:val="0"/>
                <w:iCs w:val="0"/>
                <w:snapToGrid w:val="0"/>
                <w:color w:val="000000"/>
                <w:kern w:val="0"/>
                <w:sz w:val="21"/>
                <w:szCs w:val="21"/>
                <w:u w:val="none"/>
                <w:lang w:val="en-US" w:eastAsia="zh-CN" w:bidi="ar"/>
              </w:rPr>
            </w:pPr>
            <w:r>
              <w:rPr>
                <w:rFonts w:hint="eastAsia" w:ascii="方正仿宋_GBK" w:hAnsi="方正仿宋_GBK" w:eastAsia="方正仿宋_GBK" w:cs="方正仿宋_GBK"/>
                <w:i w:val="0"/>
                <w:iCs w:val="0"/>
                <w:snapToGrid w:val="0"/>
                <w:color w:val="000000"/>
                <w:kern w:val="0"/>
                <w:sz w:val="21"/>
                <w:szCs w:val="21"/>
                <w:u w:val="none"/>
                <w:lang w:val="en-US" w:eastAsia="zh-CN" w:bidi="ar"/>
              </w:rPr>
              <w:t>其他</w:t>
            </w:r>
          </w:p>
        </w:tc>
        <w:tc>
          <w:tcPr>
            <w:tcW w:w="131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val="0"/>
              <w:spacing w:line="220" w:lineRule="exact"/>
              <w:ind w:firstLine="0" w:firstLineChars="0"/>
              <w:jc w:val="center"/>
              <w:textAlignment w:val="center"/>
              <w:rPr>
                <w:rFonts w:hint="eastAsia" w:ascii="方正仿宋_GBK" w:hAnsi="方正仿宋_GBK" w:eastAsia="方正仿宋_GBK" w:cs="方正仿宋_GBK"/>
                <w:snapToGrid w:val="0"/>
                <w:color w:val="000000"/>
                <w:sz w:val="21"/>
                <w:szCs w:val="21"/>
                <w:lang w:val="en-US" w:eastAsia="zh-CN" w:bidi="ar"/>
              </w:rPr>
            </w:pPr>
          </w:p>
        </w:tc>
      </w:tr>
    </w:tbl>
    <w:p>
      <w:pPr>
        <w:pStyle w:val="14"/>
        <w:ind w:left="0" w:leftChars="0" w:firstLine="0" w:firstLineChars="0"/>
        <w:rPr>
          <w:rFonts w:hint="default"/>
          <w:lang w:val="en-US" w:eastAsia="zh-CN"/>
        </w:rPr>
      </w:pPr>
    </w:p>
    <w:p>
      <w:pPr>
        <w:widowControl/>
        <w:spacing w:line="560" w:lineRule="exact"/>
        <w:jc w:val="left"/>
        <w:rPr>
          <w:rFonts w:ascii="Times New Roman" w:hAnsi="Times New Roman" w:eastAsia="方正仿宋_GBK"/>
          <w:sz w:val="32"/>
          <w:szCs w:val="32"/>
        </w:rPr>
        <w:sectPr>
          <w:pgSz w:w="16838" w:h="11906" w:orient="landscape"/>
          <w:pgMar w:top="1304" w:right="1304" w:bottom="1304" w:left="1304" w:header="851" w:footer="1020" w:gutter="0"/>
          <w:cols w:space="0" w:num="1"/>
          <w:rtlGutter w:val="0"/>
          <w:docGrid w:type="lines" w:linePitch="320" w:charSpace="0"/>
        </w:sectPr>
      </w:pPr>
    </w:p>
    <w:p>
      <w:pPr>
        <w:pStyle w:val="2"/>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keepNext w:val="0"/>
        <w:keepLines w:val="0"/>
        <w:pageBreakBefore w:val="0"/>
        <w:widowControl w:val="0"/>
        <w:kinsoku/>
        <w:wordWrap/>
        <w:overflowPunct/>
        <w:topLinePunct w:val="0"/>
        <w:autoSpaceDE/>
        <w:autoSpaceDN/>
        <w:bidi w:val="0"/>
        <w:adjustRightInd/>
        <w:snapToGrid/>
        <w:spacing w:after="0" w:line="660" w:lineRule="exact"/>
        <w:textAlignment w:val="baseline"/>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80" w:lineRule="exact"/>
        <w:ind w:firstLine="210" w:firstLineChars="100"/>
        <w:jc w:val="left"/>
        <w:textAlignment w:val="auto"/>
        <w:rPr>
          <w:rFonts w:hint="default" w:ascii="Times New Roman" w:hAnsi="Times New Roman" w:eastAsia="方正仿宋_GBK" w:cs="Times New Roman"/>
          <w:bCs/>
          <w:color w:val="000000"/>
          <w:spacing w:val="0"/>
          <w:sz w:val="28"/>
          <w:szCs w:val="28"/>
        </w:rPr>
      </w:pPr>
      <w:r>
        <w:rPr>
          <w:rFonts w:hint="default" w:ascii="Times New Roman" w:hAnsi="Times New Roman" w:cs="Times New Roman"/>
          <w:bCs/>
          <w:color w:val="000000"/>
          <w:spacing w:val="0"/>
        </w:rPr>
        <mc:AlternateContent>
          <mc:Choice Requires="wps">
            <w:drawing>
              <wp:anchor distT="0" distB="0" distL="114300" distR="114300" simplePos="0" relativeHeight="251660288" behindDoc="0" locked="1" layoutInCell="1" allowOverlap="1">
                <wp:simplePos x="0" y="0"/>
                <wp:positionH relativeFrom="column">
                  <wp:posOffset>0</wp:posOffset>
                </wp:positionH>
                <wp:positionV relativeFrom="paragraph">
                  <wp:posOffset>31115</wp:posOffset>
                </wp:positionV>
                <wp:extent cx="5609590" cy="2540"/>
                <wp:effectExtent l="0" t="7620" r="13970" b="12700"/>
                <wp:wrapNone/>
                <wp:docPr id="8" name="直接连接符 8"/>
                <wp:cNvGraphicFramePr/>
                <a:graphic xmlns:a="http://schemas.openxmlformats.org/drawingml/2006/main">
                  <a:graphicData uri="http://schemas.microsoft.com/office/word/2010/wordprocessingShape">
                    <wps:wsp>
                      <wps:cNvCnPr/>
                      <wps:spPr>
                        <a:xfrm>
                          <a:off x="0" y="0"/>
                          <a:ext cx="5609590" cy="2540"/>
                        </a:xfrm>
                        <a:prstGeom prst="line">
                          <a:avLst/>
                        </a:prstGeom>
                        <a:ln w="1587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0pt;margin-top:2.45pt;height:0.2pt;width:441.7pt;z-index:251660288;mso-width-relative:page;mso-height-relative:page;" filled="f" stroked="t" coordsize="21600,21600" o:gfxdata="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IGGLfjVAAAABAEAAA8AAAAAAAAAAQAgAAAAIgAAAGRycy9kb3ducmV2LnhtbFBLAQIU&#10;ABQAAAAIAIdO4kBwmNvs9gEAAOoDAAAOAAAAAAAAAAEAIAAAACQBAABkcnMvZTJvRG9jLnhtbFBL&#10;BQYAAAAABgAGAFkBAACMBQAAAAA=&#10;">
                <v:fill on="f" focussize="0,0"/>
                <v:stroke weight="1.25pt" color="#000000" joinstyle="round"/>
                <v:imagedata o:title=""/>
                <o:lock v:ext="edit" aspectratio="f"/>
                <w10:anchorlock/>
              </v:line>
            </w:pict>
          </mc:Fallback>
        </mc:AlternateContent>
      </w:r>
      <w:r>
        <w:rPr>
          <w:rFonts w:hint="default" w:ascii="Times New Roman" w:hAnsi="Times New Roman" w:eastAsia="方正仿宋_GBK" w:cs="Times New Roman"/>
          <w:bCs/>
          <w:color w:val="000000"/>
          <w:spacing w:val="0"/>
          <w:sz w:val="28"/>
          <w:szCs w:val="28"/>
        </w:rPr>
        <w:t>抄送：市委各部委办，市人大常委会办公室，市政协办公室，市监委，</w:t>
      </w:r>
    </w:p>
    <w:p>
      <w:pPr>
        <w:keepNext w:val="0"/>
        <w:keepLines w:val="0"/>
        <w:pageBreakBefore w:val="0"/>
        <w:widowControl w:val="0"/>
        <w:kinsoku/>
        <w:wordWrap/>
        <w:overflowPunct/>
        <w:topLinePunct w:val="0"/>
        <w:autoSpaceDE/>
        <w:autoSpaceDN/>
        <w:bidi w:val="0"/>
        <w:adjustRightInd/>
        <w:snapToGrid/>
        <w:spacing w:line="580" w:lineRule="exact"/>
        <w:ind w:left="0" w:leftChars="0" w:firstLine="1078" w:firstLineChars="385"/>
        <w:jc w:val="left"/>
        <w:textAlignment w:val="auto"/>
        <w:rPr>
          <w:rFonts w:hint="default" w:ascii="Times New Roman" w:hAnsi="Times New Roman" w:eastAsia="方正仿宋_GBK" w:cs="Times New Roman"/>
          <w:bCs/>
          <w:color w:val="000000"/>
          <w:spacing w:val="0"/>
          <w:sz w:val="28"/>
          <w:szCs w:val="28"/>
        </w:rPr>
      </w:pPr>
      <w:r>
        <w:rPr>
          <w:rFonts w:hint="default" w:ascii="Times New Roman" w:hAnsi="Times New Roman" w:eastAsia="方正仿宋_GBK" w:cs="Times New Roman"/>
          <w:bCs/>
          <w:color w:val="000000"/>
          <w:spacing w:val="0"/>
          <w:sz w:val="28"/>
          <w:szCs w:val="28"/>
        </w:rPr>
        <w:t>市法院，市检察院，宿迁军分区。</w:t>
      </w:r>
    </w:p>
    <w:p>
      <w:pPr>
        <w:pStyle w:val="5"/>
        <w:keepNext w:val="0"/>
        <w:keepLines w:val="0"/>
        <w:pageBreakBefore w:val="0"/>
        <w:widowControl w:val="0"/>
        <w:kinsoku/>
        <w:wordWrap/>
        <w:overflowPunct/>
        <w:topLinePunct w:val="0"/>
        <w:autoSpaceDE/>
        <w:autoSpaceDN/>
        <w:bidi w:val="0"/>
        <w:adjustRightInd/>
        <w:snapToGrid/>
        <w:spacing w:after="0" w:line="580" w:lineRule="exact"/>
        <w:rPr>
          <w:rFonts w:hint="default" w:ascii="Times New Roman" w:hAnsi="Times New Roman" w:eastAsia="方正黑体_GBK" w:cs="Times New Roman"/>
          <w:color w:val="auto"/>
          <w:spacing w:val="0"/>
          <w:sz w:val="32"/>
          <w:szCs w:val="32"/>
          <w:shd w:val="clear" w:color="auto" w:fill="auto"/>
          <w:lang w:val="en-US" w:eastAsia="zh-CN"/>
        </w:rPr>
      </w:pPr>
      <w:r>
        <w:rPr>
          <w:rFonts w:hint="default" w:ascii="Times New Roman" w:hAnsi="Times New Roman" w:cs="Times New Roman"/>
          <w:bCs/>
          <w:color w:val="000000"/>
          <w:spacing w:val="0"/>
        </w:rPr>
        <mc:AlternateContent>
          <mc:Choice Requires="wps">
            <w:drawing>
              <wp:anchor distT="0" distB="0" distL="114300" distR="114300" simplePos="0" relativeHeight="251661312" behindDoc="0" locked="1" layoutInCell="1" allowOverlap="1">
                <wp:simplePos x="0" y="0"/>
                <wp:positionH relativeFrom="column">
                  <wp:posOffset>0</wp:posOffset>
                </wp:positionH>
                <wp:positionV relativeFrom="paragraph">
                  <wp:posOffset>432435</wp:posOffset>
                </wp:positionV>
                <wp:extent cx="5611495" cy="2540"/>
                <wp:effectExtent l="0" t="7620" r="12065" b="12700"/>
                <wp:wrapNone/>
                <wp:docPr id="4" name="直接连接符 4"/>
                <wp:cNvGraphicFramePr/>
                <a:graphic xmlns:a="http://schemas.openxmlformats.org/drawingml/2006/main">
                  <a:graphicData uri="http://schemas.microsoft.com/office/word/2010/wordprocessingShape">
                    <wps:wsp>
                      <wps:cNvCnPr/>
                      <wps:spPr>
                        <a:xfrm>
                          <a:off x="0" y="0"/>
                          <a:ext cx="5611495" cy="2540"/>
                        </a:xfrm>
                        <a:prstGeom prst="line">
                          <a:avLst/>
                        </a:prstGeom>
                        <a:ln w="1587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0pt;margin-top:34.05pt;height:0.2pt;width:441.85pt;z-index:251661312;mso-width-relative:page;mso-height-relative:page;" filled="f" stroked="t" coordsize="21600,21600" o:gfxdata="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SF+321gAAAAYBAAAPAAAAAAAAAAEAIAAAACIAAABkcnMvZG93bnJldi54bWxQSwEC&#10;FAAUAAAACACHTuJAZXQ7zfYBAADqAwAADgAAAAAAAAABACAAAAAlAQAAZHJzL2Uyb0RvYy54bWxQ&#10;SwUGAAAAAAYABgBZAQAAjQUAAAAA&#10;">
                <v:fill on="f" focussize="0,0"/>
                <v:stroke weight="1.25pt" color="#000000" joinstyle="round"/>
                <v:imagedata o:title=""/>
                <o:lock v:ext="edit" aspectratio="f"/>
                <w10:anchorlock/>
              </v:line>
            </w:pict>
          </mc:Fallback>
        </mc:AlternateContent>
      </w:r>
      <w:r>
        <w:rPr>
          <w:rFonts w:hint="default" w:ascii="Times New Roman" w:hAnsi="Times New Roman" w:cs="Times New Roman"/>
          <w:bCs/>
          <w:color w:val="000000"/>
          <w:spacing w:val="0"/>
        </w:rPr>
        <mc:AlternateContent>
          <mc:Choice Requires="wps">
            <w:drawing>
              <wp:anchor distT="0" distB="0" distL="114300" distR="114300" simplePos="0" relativeHeight="251662336" behindDoc="0" locked="1" layoutInCell="1" allowOverlap="1">
                <wp:simplePos x="0" y="0"/>
                <wp:positionH relativeFrom="column">
                  <wp:posOffset>0</wp:posOffset>
                </wp:positionH>
                <wp:positionV relativeFrom="paragraph">
                  <wp:posOffset>50800</wp:posOffset>
                </wp:positionV>
                <wp:extent cx="5615940" cy="2540"/>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5940" cy="254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0pt;margin-top:4pt;height:0.2pt;width:442.2pt;z-index:251662336;mso-width-relative:page;mso-height-relative:page;" filled="f" stroked="t" coordsize="21600,21600" o:gfxdata="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Z65SfTAAAABAEAAA8AAAAAAAAAAQAgAAAAIgAAAGRycy9kb3ducmV2LnhtbFBLAQIUABQAAAAI&#10;AIdO4kB6f4B98gEAAOkDAAAOAAAAAAAAAAEAIAAAACIBAABkcnMvZTJvRG9jLnhtbFBLBQYAAAAA&#10;BgAGAFkBAACGBQAAAAA=&#10;">
                <v:fill on="f" focussize="0,0"/>
                <v:stroke color="#000000" joinstyle="round"/>
                <v:imagedata o:title=""/>
                <o:lock v:ext="edit" aspectratio="f"/>
                <w10:anchorlock/>
              </v:line>
            </w:pict>
          </mc:Fallback>
        </mc:AlternateContent>
      </w:r>
      <w:r>
        <w:rPr>
          <w:rFonts w:hint="default" w:ascii="Times New Roman" w:hAnsi="Times New Roman" w:eastAsia="方正仿宋_GBK" w:cs="Times New Roman"/>
          <w:bCs/>
          <w:color w:val="000000"/>
          <w:spacing w:val="0"/>
          <w:sz w:val="28"/>
          <w:szCs w:val="28"/>
        </w:rPr>
        <w:t xml:space="preserve">宿迁市人民政府办公室           </w:t>
      </w:r>
      <w:r>
        <w:rPr>
          <w:rFonts w:hint="default" w:ascii="Times New Roman" w:hAnsi="Times New Roman" w:eastAsia="方正仿宋_GBK" w:cs="Times New Roman"/>
          <w:bCs/>
          <w:color w:val="000000"/>
          <w:spacing w:val="0"/>
          <w:sz w:val="28"/>
          <w:szCs w:val="28"/>
          <w:lang w:val="en-US" w:eastAsia="zh-CN"/>
        </w:rPr>
        <w:t xml:space="preserve">  </w:t>
      </w:r>
      <w:r>
        <w:rPr>
          <w:rFonts w:hint="default" w:ascii="Times New Roman" w:hAnsi="Times New Roman" w:eastAsia="方正仿宋_GBK" w:cs="Times New Roman"/>
          <w:bCs/>
          <w:color w:val="000000"/>
          <w:spacing w:val="0"/>
          <w:sz w:val="28"/>
          <w:szCs w:val="28"/>
        </w:rPr>
        <w:t xml:space="preserve">  </w:t>
      </w:r>
      <w:r>
        <w:rPr>
          <w:rFonts w:hint="default" w:ascii="Times New Roman" w:hAnsi="Times New Roman" w:eastAsia="方正仿宋_GBK" w:cs="Times New Roman"/>
          <w:bCs/>
          <w:color w:val="000000"/>
          <w:spacing w:val="0"/>
          <w:sz w:val="28"/>
          <w:szCs w:val="28"/>
          <w:lang w:val="en-US" w:eastAsia="zh-CN"/>
        </w:rPr>
        <w:t xml:space="preserve"> </w:t>
      </w:r>
      <w:r>
        <w:rPr>
          <w:rFonts w:hint="default" w:ascii="Times New Roman" w:hAnsi="Times New Roman" w:eastAsia="方正仿宋_GBK" w:cs="Times New Roman"/>
          <w:bCs/>
          <w:color w:val="000000"/>
          <w:spacing w:val="0"/>
          <w:sz w:val="28"/>
          <w:szCs w:val="28"/>
        </w:rPr>
        <w:t xml:space="preserve">    2022年</w:t>
      </w:r>
      <w:r>
        <w:rPr>
          <w:rFonts w:hint="eastAsia" w:ascii="Times New Roman" w:hAnsi="Times New Roman" w:eastAsia="方正仿宋_GBK" w:cs="Times New Roman"/>
          <w:bCs/>
          <w:color w:val="000000"/>
          <w:spacing w:val="0"/>
          <w:sz w:val="28"/>
          <w:szCs w:val="28"/>
          <w:lang w:val="en-US" w:eastAsia="zh-CN"/>
        </w:rPr>
        <w:t>12</w:t>
      </w:r>
      <w:r>
        <w:rPr>
          <w:rFonts w:hint="default" w:ascii="Times New Roman" w:hAnsi="Times New Roman" w:eastAsia="方正仿宋_GBK" w:cs="Times New Roman"/>
          <w:bCs/>
          <w:color w:val="000000"/>
          <w:spacing w:val="0"/>
          <w:sz w:val="28"/>
          <w:szCs w:val="28"/>
        </w:rPr>
        <w:t>月</w:t>
      </w:r>
      <w:r>
        <w:rPr>
          <w:rFonts w:hint="eastAsia" w:ascii="Times New Roman" w:hAnsi="Times New Roman" w:eastAsia="方正仿宋_GBK" w:cs="Times New Roman"/>
          <w:bCs/>
          <w:color w:val="000000"/>
          <w:spacing w:val="0"/>
          <w:sz w:val="28"/>
          <w:szCs w:val="28"/>
          <w:lang w:val="en-US" w:eastAsia="zh-CN"/>
        </w:rPr>
        <w:t>2</w:t>
      </w:r>
      <w:r>
        <w:rPr>
          <w:rFonts w:hint="default" w:ascii="Times New Roman" w:hAnsi="Times New Roman" w:eastAsia="方正仿宋_GBK" w:cs="Times New Roman"/>
          <w:bCs/>
          <w:color w:val="000000"/>
          <w:spacing w:val="0"/>
          <w:sz w:val="28"/>
          <w:szCs w:val="28"/>
        </w:rPr>
        <w:t>日印发</w:t>
      </w:r>
    </w:p>
    <w:p>
      <w:pPr>
        <w:pStyle w:val="5"/>
      </w:pPr>
    </w:p>
    <w:sectPr>
      <w:pgSz w:w="11906" w:h="16838"/>
      <w:pgMar w:top="2098" w:right="1531" w:bottom="1928" w:left="1531" w:header="851" w:footer="1474" w:gutter="0"/>
      <w:cols w:space="0" w:num="1"/>
      <w:rtlGutter w:val="0"/>
      <w:docGrid w:type="lines" w:linePitch="32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方正仿宋_GBK">
    <w:panose1 w:val="03000509000000000000"/>
    <w:charset w:val="86"/>
    <w:family w:val="script"/>
    <w:pitch w:val="default"/>
    <w:sig w:usb0="00000001" w:usb1="080E0000" w:usb2="00000000" w:usb3="00000000" w:csb0="00040000" w:csb1="00000000"/>
    <w:embedRegular r:id="rId1" w:fontKey="{C1F10D92-B94F-4AE0-98D5-0B4FEA3280F2}"/>
  </w:font>
  <w:font w:name="汉鼎简大宋">
    <w:altName w:val="宋体"/>
    <w:panose1 w:val="0201060901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embedRegular r:id="rId2" w:fontKey="{04C6C263-5541-40EC-B678-937C063F4A6D}"/>
  </w:font>
  <w:font w:name="方正楷体_GBK">
    <w:panose1 w:val="03000509000000000000"/>
    <w:charset w:val="86"/>
    <w:family w:val="script"/>
    <w:pitch w:val="default"/>
    <w:sig w:usb0="00000001" w:usb1="080E0000" w:usb2="00000000" w:usb3="00000000" w:csb0="00040000" w:csb1="00000000"/>
    <w:embedRegular r:id="rId3" w:fontKey="{E23BEB3C-7E95-485D-BE81-4B173F1B36F5}"/>
  </w:font>
  <w:font w:name="仿宋">
    <w:panose1 w:val="02010609060101010101"/>
    <w:charset w:val="86"/>
    <w:family w:val="auto"/>
    <w:pitch w:val="default"/>
    <w:sig w:usb0="800002BF" w:usb1="38CF7CFA" w:usb2="00000016" w:usb3="00000000" w:csb0="00040001" w:csb1="00000000"/>
    <w:embedRegular r:id="rId4" w:fontKey="{68901728-3A91-4F4C-8A2D-831382D09412}"/>
  </w:font>
  <w:font w:name="方正黑体_GBK">
    <w:panose1 w:val="03000509000000000000"/>
    <w:charset w:val="86"/>
    <w:family w:val="script"/>
    <w:pitch w:val="default"/>
    <w:sig w:usb0="00000001" w:usb1="080E0000" w:usb2="00000000" w:usb3="00000000" w:csb0="00040000" w:csb1="00000000"/>
    <w:embedRegular r:id="rId5" w:fontKey="{3D52D0A1-778E-454B-84D9-B33DFCD64A3E}"/>
  </w:font>
  <w:font w:name="方正仿宋简体">
    <w:altName w:val="微软雅黑"/>
    <w:panose1 w:val="02000000000000000000"/>
    <w:charset w:val="86"/>
    <w:family w:val="script"/>
    <w:pitch w:val="default"/>
    <w:sig w:usb0="00000000" w:usb1="00000000" w:usb2="00000000" w:usb3="00000000" w:csb0="00000000" w:csb1="00000000"/>
    <w:embedRegular r:id="rId6" w:fontKey="{2006A627-3056-4D63-9DD8-3B705F5DF12D}"/>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outside" w:y="1"/>
      <w:ind w:right="315" w:rightChars="150"/>
      <w:jc w:val="center"/>
      <w:rPr>
        <w:rStyle w:val="17"/>
        <w:rFonts w:ascii="Times New Roman" w:hAnsi="Times New Roman"/>
        <w:sz w:val="28"/>
        <w:szCs w:val="28"/>
      </w:rPr>
    </w:pPr>
  </w:p>
  <w:p>
    <w:pPr>
      <w:pStyle w:val="10"/>
      <w:ind w:right="360" w:firstLine="360"/>
      <w:jc w:val="center"/>
      <w:rPr>
        <w:rFonts w:ascii="Times New Roman" w:hAnsi="Times New Roman"/>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keepNext w:val="0"/>
                            <w:keepLines w:val="0"/>
                            <w:pageBreakBefore w:val="0"/>
                            <w:widowControl w:val="0"/>
                            <w:kinsoku/>
                            <w:wordWrap/>
                            <w:overflowPunct/>
                            <w:topLinePunct w:val="0"/>
                            <w:autoSpaceDE/>
                            <w:autoSpaceDN/>
                            <w:bidi w:val="0"/>
                            <w:adjustRightInd/>
                            <w:snapToGrid w:val="0"/>
                            <w:ind w:left="315" w:leftChars="150" w:right="315" w:rightChars="150" w:firstLine="0"/>
                            <w:jc w:val="center"/>
                            <w:textAlignment w:val="auto"/>
                          </w:pPr>
                          <w:r>
                            <w:rPr>
                              <w:rFonts w:ascii="Times New Roman" w:hAnsi="Times New Roman"/>
                              <w:sz w:val="28"/>
                              <w:szCs w:val="28"/>
                            </w:rPr>
                            <w:t>—</w:t>
                          </w:r>
                          <w:r>
                            <w:rPr>
                              <w:rFonts w:hint="eastAsia" w:ascii="Times New Roman" w:hAnsi="Times New Roman"/>
                              <w:sz w:val="28"/>
                              <w:szCs w:val="28"/>
                              <w:lang w:val="en-US" w:eastAsia="zh-CN"/>
                            </w:rPr>
                            <w:t xml:space="preserve"> </w:t>
                          </w: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lang w:val="zh-CN"/>
                            </w:rPr>
                            <w:t>9</w:t>
                          </w:r>
                          <w:r>
                            <w:rPr>
                              <w:rFonts w:ascii="Times New Roman" w:hAnsi="Times New Roman"/>
                              <w:sz w:val="28"/>
                              <w:szCs w:val="28"/>
                            </w:rPr>
                            <w:fldChar w:fldCharType="end"/>
                          </w:r>
                          <w:r>
                            <w:rPr>
                              <w:rFonts w:hint="eastAsia" w:ascii="Times New Roman" w:hAnsi="Times New Roman"/>
                              <w:sz w:val="28"/>
                              <w:szCs w:val="28"/>
                              <w:lang w:val="en-US" w:eastAsia="zh-CN"/>
                            </w:rPr>
                            <w:t xml:space="preserve"> </w:t>
                          </w:r>
                          <w:r>
                            <w:rPr>
                              <w:rFonts w:ascii="Times New Roman" w:hAnsi="Times New Roman"/>
                              <w:sz w:val="28"/>
                              <w:szCs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0"/>
                      <w:keepNext w:val="0"/>
                      <w:keepLines w:val="0"/>
                      <w:pageBreakBefore w:val="0"/>
                      <w:widowControl w:val="0"/>
                      <w:kinsoku/>
                      <w:wordWrap/>
                      <w:overflowPunct/>
                      <w:topLinePunct w:val="0"/>
                      <w:autoSpaceDE/>
                      <w:autoSpaceDN/>
                      <w:bidi w:val="0"/>
                      <w:adjustRightInd/>
                      <w:snapToGrid w:val="0"/>
                      <w:ind w:left="315" w:leftChars="150" w:right="315" w:rightChars="150" w:firstLine="0"/>
                      <w:jc w:val="center"/>
                      <w:textAlignment w:val="auto"/>
                    </w:pPr>
                    <w:r>
                      <w:rPr>
                        <w:rFonts w:ascii="Times New Roman" w:hAnsi="Times New Roman"/>
                        <w:sz w:val="28"/>
                        <w:szCs w:val="28"/>
                      </w:rPr>
                      <w:t>—</w:t>
                    </w:r>
                    <w:r>
                      <w:rPr>
                        <w:rFonts w:hint="eastAsia" w:ascii="Times New Roman" w:hAnsi="Times New Roman"/>
                        <w:sz w:val="28"/>
                        <w:szCs w:val="28"/>
                        <w:lang w:val="en-US" w:eastAsia="zh-CN"/>
                      </w:rPr>
                      <w:t xml:space="preserve"> </w:t>
                    </w: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lang w:val="zh-CN"/>
                      </w:rPr>
                      <w:t>9</w:t>
                    </w:r>
                    <w:r>
                      <w:rPr>
                        <w:rFonts w:ascii="Times New Roman" w:hAnsi="Times New Roman"/>
                        <w:sz w:val="28"/>
                        <w:szCs w:val="28"/>
                      </w:rPr>
                      <w:fldChar w:fldCharType="end"/>
                    </w:r>
                    <w:r>
                      <w:rPr>
                        <w:rFonts w:hint="eastAsia" w:ascii="Times New Roman" w:hAnsi="Times New Roman"/>
                        <w:sz w:val="28"/>
                        <w:szCs w:val="28"/>
                        <w:lang w:val="en-US" w:eastAsia="zh-CN"/>
                      </w:rPr>
                      <w:t xml:space="preserve"> </w:t>
                    </w:r>
                    <w:r>
                      <w:rPr>
                        <w:rFonts w:ascii="Times New Roman" w:hAnsi="Times New Roman"/>
                        <w:sz w:val="28"/>
                        <w:szCs w:val="28"/>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0"/>
  <w:bordersDoNotSurroundFooter w:val="0"/>
  <w:hideSpellingErrors/>
  <w:documentProtection w:enforcement="0"/>
  <w:defaultTabStop w:val="420"/>
  <w:drawingGridHorizontalSpacing w:val="105"/>
  <w:drawingGridVerticalSpacing w:val="160"/>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ZkMDJkZWExNGVkNjJlZGRhMmU0Njk2NTlkOTc2ZWMifQ=="/>
  </w:docVars>
  <w:rsids>
    <w:rsidRoot w:val="0E9960D7"/>
    <w:rsid w:val="00012339"/>
    <w:rsid w:val="0003286F"/>
    <w:rsid w:val="00047D89"/>
    <w:rsid w:val="00070D60"/>
    <w:rsid w:val="000711E4"/>
    <w:rsid w:val="000742A4"/>
    <w:rsid w:val="00082C0D"/>
    <w:rsid w:val="000A2A3F"/>
    <w:rsid w:val="001137B5"/>
    <w:rsid w:val="00124835"/>
    <w:rsid w:val="00131BF1"/>
    <w:rsid w:val="00134EE9"/>
    <w:rsid w:val="00161BF2"/>
    <w:rsid w:val="001927A1"/>
    <w:rsid w:val="001A1F76"/>
    <w:rsid w:val="001A5311"/>
    <w:rsid w:val="001A62F3"/>
    <w:rsid w:val="001B7EBA"/>
    <w:rsid w:val="001C2CDC"/>
    <w:rsid w:val="00205DF9"/>
    <w:rsid w:val="0021146F"/>
    <w:rsid w:val="002118F6"/>
    <w:rsid w:val="00213D36"/>
    <w:rsid w:val="00274974"/>
    <w:rsid w:val="00274B0E"/>
    <w:rsid w:val="00280E8B"/>
    <w:rsid w:val="002A4B8F"/>
    <w:rsid w:val="002C4754"/>
    <w:rsid w:val="00300994"/>
    <w:rsid w:val="003045A7"/>
    <w:rsid w:val="003346A2"/>
    <w:rsid w:val="003352FF"/>
    <w:rsid w:val="003669EE"/>
    <w:rsid w:val="00371B05"/>
    <w:rsid w:val="00382635"/>
    <w:rsid w:val="003B6777"/>
    <w:rsid w:val="003D5DB3"/>
    <w:rsid w:val="003F789C"/>
    <w:rsid w:val="004144A7"/>
    <w:rsid w:val="00431334"/>
    <w:rsid w:val="0044521F"/>
    <w:rsid w:val="00452E59"/>
    <w:rsid w:val="00455C68"/>
    <w:rsid w:val="00464188"/>
    <w:rsid w:val="0047107F"/>
    <w:rsid w:val="00481549"/>
    <w:rsid w:val="00484800"/>
    <w:rsid w:val="004E468A"/>
    <w:rsid w:val="004E5764"/>
    <w:rsid w:val="004F1790"/>
    <w:rsid w:val="004F5231"/>
    <w:rsid w:val="005227E0"/>
    <w:rsid w:val="005408CD"/>
    <w:rsid w:val="0055161F"/>
    <w:rsid w:val="00560372"/>
    <w:rsid w:val="005A10B5"/>
    <w:rsid w:val="005A53DE"/>
    <w:rsid w:val="005B08D9"/>
    <w:rsid w:val="006229D8"/>
    <w:rsid w:val="006524C1"/>
    <w:rsid w:val="00660EC6"/>
    <w:rsid w:val="00671931"/>
    <w:rsid w:val="00674A61"/>
    <w:rsid w:val="006C1684"/>
    <w:rsid w:val="006D511B"/>
    <w:rsid w:val="006E0896"/>
    <w:rsid w:val="0071327E"/>
    <w:rsid w:val="00735F20"/>
    <w:rsid w:val="00781A4F"/>
    <w:rsid w:val="00796781"/>
    <w:rsid w:val="00797505"/>
    <w:rsid w:val="007B282E"/>
    <w:rsid w:val="007B454B"/>
    <w:rsid w:val="007C4734"/>
    <w:rsid w:val="007D7778"/>
    <w:rsid w:val="007E1EAB"/>
    <w:rsid w:val="007E2167"/>
    <w:rsid w:val="007E3DE0"/>
    <w:rsid w:val="00800BC0"/>
    <w:rsid w:val="00804284"/>
    <w:rsid w:val="008148B8"/>
    <w:rsid w:val="0081605B"/>
    <w:rsid w:val="0083309D"/>
    <w:rsid w:val="00844ACE"/>
    <w:rsid w:val="00847671"/>
    <w:rsid w:val="00847C7B"/>
    <w:rsid w:val="00856583"/>
    <w:rsid w:val="00861F3A"/>
    <w:rsid w:val="00891B4C"/>
    <w:rsid w:val="00895D21"/>
    <w:rsid w:val="00896BC4"/>
    <w:rsid w:val="008B64F0"/>
    <w:rsid w:val="008C4922"/>
    <w:rsid w:val="008D1415"/>
    <w:rsid w:val="008F44DA"/>
    <w:rsid w:val="0091229C"/>
    <w:rsid w:val="009137F1"/>
    <w:rsid w:val="009212C1"/>
    <w:rsid w:val="00955E28"/>
    <w:rsid w:val="0096076F"/>
    <w:rsid w:val="00972A4D"/>
    <w:rsid w:val="00975BB3"/>
    <w:rsid w:val="00990A32"/>
    <w:rsid w:val="00991060"/>
    <w:rsid w:val="00992308"/>
    <w:rsid w:val="009E642E"/>
    <w:rsid w:val="009F0258"/>
    <w:rsid w:val="009F1F13"/>
    <w:rsid w:val="00A002BE"/>
    <w:rsid w:val="00A3010B"/>
    <w:rsid w:val="00A32BD3"/>
    <w:rsid w:val="00A3373D"/>
    <w:rsid w:val="00A75551"/>
    <w:rsid w:val="00A81914"/>
    <w:rsid w:val="00A87E4B"/>
    <w:rsid w:val="00A92EA1"/>
    <w:rsid w:val="00AE0527"/>
    <w:rsid w:val="00AF3CC7"/>
    <w:rsid w:val="00B06D88"/>
    <w:rsid w:val="00B1521A"/>
    <w:rsid w:val="00B15525"/>
    <w:rsid w:val="00B1662E"/>
    <w:rsid w:val="00B72C09"/>
    <w:rsid w:val="00BC09E6"/>
    <w:rsid w:val="00BC25DD"/>
    <w:rsid w:val="00C23802"/>
    <w:rsid w:val="00C2789A"/>
    <w:rsid w:val="00C332FA"/>
    <w:rsid w:val="00C418A4"/>
    <w:rsid w:val="00C43DE0"/>
    <w:rsid w:val="00C50EC5"/>
    <w:rsid w:val="00C61D23"/>
    <w:rsid w:val="00C65AA8"/>
    <w:rsid w:val="00C96106"/>
    <w:rsid w:val="00CD2D0A"/>
    <w:rsid w:val="00CD50AF"/>
    <w:rsid w:val="00CE69AA"/>
    <w:rsid w:val="00CF0655"/>
    <w:rsid w:val="00CF5B46"/>
    <w:rsid w:val="00CF619B"/>
    <w:rsid w:val="00D1410F"/>
    <w:rsid w:val="00D31F99"/>
    <w:rsid w:val="00D7311C"/>
    <w:rsid w:val="00D9571D"/>
    <w:rsid w:val="00E2094F"/>
    <w:rsid w:val="00E3387D"/>
    <w:rsid w:val="00E54C8F"/>
    <w:rsid w:val="00E63CF8"/>
    <w:rsid w:val="00E717DE"/>
    <w:rsid w:val="00EA5460"/>
    <w:rsid w:val="00EB4BA2"/>
    <w:rsid w:val="00ED3CD0"/>
    <w:rsid w:val="00EE2C6E"/>
    <w:rsid w:val="00EE5920"/>
    <w:rsid w:val="00EF1018"/>
    <w:rsid w:val="00EF10BC"/>
    <w:rsid w:val="00F11ED4"/>
    <w:rsid w:val="00F153C5"/>
    <w:rsid w:val="00F523FC"/>
    <w:rsid w:val="00F629A9"/>
    <w:rsid w:val="00F77391"/>
    <w:rsid w:val="00F86DED"/>
    <w:rsid w:val="00F91B23"/>
    <w:rsid w:val="00F96CEC"/>
    <w:rsid w:val="00FA084B"/>
    <w:rsid w:val="00FB44E9"/>
    <w:rsid w:val="00FC0423"/>
    <w:rsid w:val="00FC0FC1"/>
    <w:rsid w:val="00FD1332"/>
    <w:rsid w:val="00FD4908"/>
    <w:rsid w:val="00FE6D1A"/>
    <w:rsid w:val="00FF3AA0"/>
    <w:rsid w:val="00FF5D42"/>
    <w:rsid w:val="01942E9D"/>
    <w:rsid w:val="02EF3252"/>
    <w:rsid w:val="04475D6C"/>
    <w:rsid w:val="05F41C2F"/>
    <w:rsid w:val="062672F1"/>
    <w:rsid w:val="08920D90"/>
    <w:rsid w:val="096C0084"/>
    <w:rsid w:val="0A4566C7"/>
    <w:rsid w:val="0E377759"/>
    <w:rsid w:val="0E9960D7"/>
    <w:rsid w:val="10410ADC"/>
    <w:rsid w:val="115F45A1"/>
    <w:rsid w:val="15033EBE"/>
    <w:rsid w:val="1887437B"/>
    <w:rsid w:val="1BC82E51"/>
    <w:rsid w:val="1CDC06CD"/>
    <w:rsid w:val="1DFD583F"/>
    <w:rsid w:val="2160111F"/>
    <w:rsid w:val="21B74324"/>
    <w:rsid w:val="22FA7107"/>
    <w:rsid w:val="23577170"/>
    <w:rsid w:val="23E13FA4"/>
    <w:rsid w:val="24763D61"/>
    <w:rsid w:val="25081EDA"/>
    <w:rsid w:val="26AA5BF0"/>
    <w:rsid w:val="28FA25E5"/>
    <w:rsid w:val="29AE369C"/>
    <w:rsid w:val="2D173C07"/>
    <w:rsid w:val="30F2230D"/>
    <w:rsid w:val="34A27A18"/>
    <w:rsid w:val="36D14925"/>
    <w:rsid w:val="38893875"/>
    <w:rsid w:val="3A8E2083"/>
    <w:rsid w:val="3BF700B0"/>
    <w:rsid w:val="3DF92ADF"/>
    <w:rsid w:val="4042187C"/>
    <w:rsid w:val="409B60C5"/>
    <w:rsid w:val="415D0451"/>
    <w:rsid w:val="42FD089D"/>
    <w:rsid w:val="43450023"/>
    <w:rsid w:val="43DB1E60"/>
    <w:rsid w:val="43DF334F"/>
    <w:rsid w:val="47580B3A"/>
    <w:rsid w:val="4A512E35"/>
    <w:rsid w:val="4BCA5B72"/>
    <w:rsid w:val="4C5E66D1"/>
    <w:rsid w:val="4FF702DB"/>
    <w:rsid w:val="505A3C34"/>
    <w:rsid w:val="52BF7AC7"/>
    <w:rsid w:val="52C50ECE"/>
    <w:rsid w:val="52F5404D"/>
    <w:rsid w:val="54D36194"/>
    <w:rsid w:val="58FB04B8"/>
    <w:rsid w:val="5B9609E5"/>
    <w:rsid w:val="5CAB2D24"/>
    <w:rsid w:val="5F156381"/>
    <w:rsid w:val="62DA2062"/>
    <w:rsid w:val="63DA0AF8"/>
    <w:rsid w:val="698E52C1"/>
    <w:rsid w:val="69F224EF"/>
    <w:rsid w:val="6AAE712B"/>
    <w:rsid w:val="6C0E59AD"/>
    <w:rsid w:val="6D3B44AF"/>
    <w:rsid w:val="6F8E437B"/>
    <w:rsid w:val="6F923F12"/>
    <w:rsid w:val="725518B0"/>
    <w:rsid w:val="75B01E26"/>
    <w:rsid w:val="7777246E"/>
    <w:rsid w:val="78641DC5"/>
    <w:rsid w:val="79586E38"/>
    <w:rsid w:val="7A05407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customStyle="1" w:styleId="2">
    <w:name w:val="BodyText1I2"/>
    <w:basedOn w:val="3"/>
    <w:next w:val="5"/>
    <w:qFormat/>
    <w:uiPriority w:val="0"/>
    <w:pPr>
      <w:ind w:firstLine="420"/>
    </w:pPr>
  </w:style>
  <w:style w:type="paragraph" w:customStyle="1" w:styleId="3">
    <w:name w:val="BodyTextIndent"/>
    <w:basedOn w:val="1"/>
    <w:next w:val="4"/>
    <w:qFormat/>
    <w:uiPriority w:val="0"/>
    <w:pPr>
      <w:spacing w:after="120"/>
      <w:ind w:left="420" w:leftChars="200"/>
      <w:textAlignment w:val="baseline"/>
    </w:pPr>
  </w:style>
  <w:style w:type="paragraph" w:customStyle="1" w:styleId="4">
    <w:name w:val="NormalIndent"/>
    <w:basedOn w:val="1"/>
    <w:qFormat/>
    <w:uiPriority w:val="0"/>
    <w:pPr>
      <w:ind w:firstLine="420" w:firstLineChars="200"/>
    </w:pPr>
  </w:style>
  <w:style w:type="paragraph" w:customStyle="1" w:styleId="5">
    <w:name w:val="BodyText1I"/>
    <w:basedOn w:val="6"/>
    <w:qFormat/>
    <w:uiPriority w:val="0"/>
    <w:pPr>
      <w:ind w:firstLine="420" w:firstLineChars="100"/>
    </w:pPr>
  </w:style>
  <w:style w:type="paragraph" w:customStyle="1" w:styleId="6">
    <w:name w:val="BodyText"/>
    <w:basedOn w:val="1"/>
    <w:next w:val="1"/>
    <w:qFormat/>
    <w:uiPriority w:val="0"/>
    <w:pPr>
      <w:spacing w:after="120"/>
      <w:textAlignment w:val="baseline"/>
    </w:pPr>
  </w:style>
  <w:style w:type="paragraph" w:styleId="7">
    <w:name w:val="Body Text"/>
    <w:basedOn w:val="1"/>
    <w:next w:val="8"/>
    <w:unhideWhenUsed/>
    <w:qFormat/>
    <w:uiPriority w:val="0"/>
    <w:pPr>
      <w:spacing w:after="120"/>
    </w:pPr>
    <w:rPr>
      <w:szCs w:val="24"/>
    </w:rPr>
  </w:style>
  <w:style w:type="paragraph" w:styleId="8">
    <w:name w:val="Body Text 2"/>
    <w:basedOn w:val="1"/>
    <w:qFormat/>
    <w:uiPriority w:val="0"/>
    <w:pPr>
      <w:spacing w:after="120" w:line="480" w:lineRule="auto"/>
    </w:pPr>
  </w:style>
  <w:style w:type="paragraph" w:styleId="9">
    <w:name w:val="Body Text Indent"/>
    <w:basedOn w:val="1"/>
    <w:qFormat/>
    <w:uiPriority w:val="0"/>
    <w:pPr>
      <w:spacing w:after="120"/>
      <w:ind w:left="420" w:leftChars="200"/>
    </w:p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Normal (Web)"/>
    <w:basedOn w:val="1"/>
    <w:qFormat/>
    <w:uiPriority w:val="0"/>
    <w:pPr>
      <w:spacing w:beforeAutospacing="1" w:afterAutospacing="1"/>
      <w:jc w:val="left"/>
    </w:pPr>
    <w:rPr>
      <w:kern w:val="0"/>
      <w:sz w:val="24"/>
      <w:szCs w:val="24"/>
    </w:rPr>
  </w:style>
  <w:style w:type="paragraph" w:styleId="13">
    <w:name w:val="Title"/>
    <w:basedOn w:val="1"/>
    <w:next w:val="9"/>
    <w:qFormat/>
    <w:uiPriority w:val="10"/>
    <w:pPr>
      <w:spacing w:before="240" w:after="60"/>
      <w:jc w:val="center"/>
      <w:outlineLvl w:val="0"/>
    </w:pPr>
    <w:rPr>
      <w:rFonts w:ascii="Cambria" w:hAnsi="Cambria"/>
      <w:b/>
      <w:bCs/>
      <w:sz w:val="32"/>
      <w:szCs w:val="32"/>
    </w:rPr>
  </w:style>
  <w:style w:type="paragraph" w:styleId="14">
    <w:name w:val="Body Text First Indent 2"/>
    <w:basedOn w:val="9"/>
    <w:unhideWhenUsed/>
    <w:qFormat/>
    <w:uiPriority w:val="99"/>
    <w:pPr>
      <w:ind w:firstLine="420" w:firstLineChars="200"/>
    </w:pPr>
    <w:rPr>
      <w:rFonts w:eastAsia="仿宋_GB2312"/>
      <w:sz w:val="32"/>
      <w:szCs w:val="24"/>
    </w:rPr>
  </w:style>
  <w:style w:type="character" w:styleId="17">
    <w:name w:val="page number"/>
    <w:basedOn w:val="16"/>
    <w:qFormat/>
    <w:uiPriority w:val="0"/>
  </w:style>
  <w:style w:type="character" w:styleId="18">
    <w:name w:val="FollowedHyperlink"/>
    <w:basedOn w:val="16"/>
    <w:unhideWhenUsed/>
    <w:qFormat/>
    <w:uiPriority w:val="99"/>
    <w:rPr>
      <w:color w:val="800080"/>
      <w:u w:val="single"/>
    </w:rPr>
  </w:style>
  <w:style w:type="character" w:styleId="19">
    <w:name w:val="Hyperlink"/>
    <w:basedOn w:val="16"/>
    <w:unhideWhenUsed/>
    <w:qFormat/>
    <w:uiPriority w:val="99"/>
    <w:rPr>
      <w:color w:val="0000FF"/>
      <w:u w:val="single"/>
    </w:rPr>
  </w:style>
  <w:style w:type="paragraph" w:customStyle="1" w:styleId="20">
    <w:name w:val="font5"/>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21">
    <w:name w:val="xl65"/>
    <w:basedOn w:val="1"/>
    <w:qFormat/>
    <w:uiPriority w:val="0"/>
    <w:pPr>
      <w:widowControl/>
      <w:spacing w:before="100" w:beforeAutospacing="1" w:after="100" w:afterAutospacing="1"/>
      <w:jc w:val="center"/>
      <w:textAlignment w:val="center"/>
    </w:pPr>
    <w:rPr>
      <w:rFonts w:ascii="方正仿宋_GBK" w:hAnsi="宋体" w:eastAsia="方正仿宋_GBK" w:cs="宋体"/>
      <w:kern w:val="0"/>
      <w:sz w:val="24"/>
      <w:szCs w:val="24"/>
    </w:rPr>
  </w:style>
  <w:style w:type="paragraph" w:customStyle="1" w:styleId="22">
    <w:name w:val="xl66"/>
    <w:basedOn w:val="1"/>
    <w:qFormat/>
    <w:uiPriority w:val="0"/>
    <w:pPr>
      <w:widowControl/>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23">
    <w:name w:val="xl67"/>
    <w:basedOn w:val="1"/>
    <w:qFormat/>
    <w:uiPriority w:val="0"/>
    <w:pPr>
      <w:widowControl/>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24">
    <w:name w:val="xl6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方正仿宋_GBK" w:hAnsi="宋体" w:eastAsia="方正仿宋_GBK" w:cs="宋体"/>
      <w:b/>
      <w:bCs/>
      <w:color w:val="000000"/>
      <w:kern w:val="0"/>
      <w:sz w:val="24"/>
      <w:szCs w:val="24"/>
    </w:rPr>
  </w:style>
  <w:style w:type="paragraph" w:customStyle="1" w:styleId="25">
    <w:name w:val="xl6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方正仿宋_GBK" w:hAnsi="宋体" w:eastAsia="方正仿宋_GBK" w:cs="宋体"/>
      <w:b/>
      <w:bCs/>
      <w:kern w:val="0"/>
      <w:sz w:val="24"/>
      <w:szCs w:val="24"/>
    </w:rPr>
  </w:style>
  <w:style w:type="paragraph" w:customStyle="1" w:styleId="26">
    <w:name w:val="xl7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方正仿宋_GBK" w:hAnsi="宋体" w:eastAsia="方正仿宋_GBK" w:cs="宋体"/>
      <w:kern w:val="0"/>
      <w:sz w:val="24"/>
      <w:szCs w:val="24"/>
    </w:rPr>
  </w:style>
  <w:style w:type="paragraph" w:customStyle="1" w:styleId="27">
    <w:name w:val="xl7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28">
    <w:name w:val="xl7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29">
    <w:name w:val="xl7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方正仿宋_GBK" w:hAnsi="宋体" w:eastAsia="方正仿宋_GBK" w:cs="宋体"/>
      <w:kern w:val="0"/>
      <w:sz w:val="24"/>
      <w:szCs w:val="24"/>
    </w:rPr>
  </w:style>
  <w:style w:type="paragraph" w:customStyle="1" w:styleId="30">
    <w:name w:val="xl7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方正仿宋_GBK" w:hAnsi="宋体" w:eastAsia="方正仿宋_GBK" w:cs="宋体"/>
      <w:color w:val="333333"/>
      <w:kern w:val="0"/>
      <w:sz w:val="24"/>
      <w:szCs w:val="24"/>
    </w:rPr>
  </w:style>
  <w:style w:type="paragraph" w:customStyle="1" w:styleId="31">
    <w:name w:val="xl75"/>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32">
    <w:name w:val="xl7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方正仿宋_GBK" w:hAnsi="宋体" w:eastAsia="方正仿宋_GBK" w:cs="宋体"/>
      <w:kern w:val="0"/>
      <w:sz w:val="24"/>
      <w:szCs w:val="24"/>
    </w:rPr>
  </w:style>
  <w:style w:type="paragraph" w:customStyle="1" w:styleId="33">
    <w:name w:val="xl7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方正仿宋_GBK" w:hAnsi="宋体" w:eastAsia="方正仿宋_GBK" w:cs="宋体"/>
      <w:kern w:val="0"/>
      <w:sz w:val="24"/>
      <w:szCs w:val="24"/>
    </w:rPr>
  </w:style>
  <w:style w:type="paragraph" w:customStyle="1" w:styleId="34">
    <w:name w:val="xl78"/>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35">
    <w:name w:val="xl79"/>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36">
    <w:name w:val="xl80"/>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37">
    <w:name w:val="xl81"/>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38">
    <w:name w:val="xl82"/>
    <w:basedOn w:val="1"/>
    <w:qFormat/>
    <w:uiPriority w:val="0"/>
    <w:pPr>
      <w:widowControl/>
      <w:pBdr>
        <w:top w:val="single" w:color="000000" w:sz="4" w:space="0"/>
        <w:left w:val="single" w:color="000000" w:sz="4" w:space="0"/>
        <w:bottom w:val="single" w:color="auto" w:sz="4" w:space="0"/>
        <w:right w:val="single" w:color="000000" w:sz="4" w:space="0"/>
      </w:pBdr>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39">
    <w:name w:val="Table Paragraph"/>
    <w:basedOn w:val="1"/>
    <w:qFormat/>
    <w:uiPriority w:val="1"/>
    <w:rPr>
      <w:rFonts w:ascii="方正仿宋_GBK" w:hAnsi="方正仿宋_GBK" w:eastAsia="方正仿宋_GBK" w:cs="方正仿宋_GBK"/>
      <w:lang w:val="zh-CN" w:bidi="zh-CN"/>
    </w:rPr>
  </w:style>
  <w:style w:type="paragraph" w:customStyle="1" w:styleId="40">
    <w:name w:val="文头"/>
    <w:basedOn w:val="1"/>
    <w:qFormat/>
    <w:uiPriority w:val="0"/>
    <w:pPr>
      <w:tabs>
        <w:tab w:val="left" w:pos="6663"/>
      </w:tabs>
      <w:spacing w:after="800" w:line="1500" w:lineRule="atLeast"/>
      <w:ind w:left="511" w:right="227" w:hanging="284"/>
      <w:jc w:val="distribute"/>
    </w:pPr>
    <w:rPr>
      <w:rFonts w:ascii="汉鼎简大宋" w:eastAsia="汉鼎简大宋"/>
      <w:b/>
      <w:color w:val="FF0000"/>
      <w:w w:val="62"/>
      <w:sz w:val="14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20</Pages>
  <Words>14682</Words>
  <Characters>15417</Characters>
  <Lines>116</Lines>
  <Paragraphs>32</Paragraphs>
  <TotalTime>20</TotalTime>
  <ScaleCrop>false</ScaleCrop>
  <LinksUpToDate>false</LinksUpToDate>
  <CharactersWithSpaces>15559</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2021-09-02T10:18:00Z</dcterms:created>
  <dc:creator>SHiliBG丶King</dc:creator>
  <cp:lastModifiedBy>Administrator</cp:lastModifiedBy>
  <cp:lastPrinted>2022-12-08T01:58:51Z</cp:lastPrinted>
  <dcterms:modified xsi:type="dcterms:W3CDTF">2022-12-08T01:59:10Z</dcterms:modified>
  <cp:revision>115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3974B7F5B08046A5AA57EDDE3DFEEE36</vt:lpwstr>
  </property>
</Properties>
</file>