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CA" w:rsidRPr="00741261" w:rsidRDefault="00132ECA" w:rsidP="00132ECA">
      <w:pPr>
        <w:spacing w:line="550" w:lineRule="exact"/>
        <w:jc w:val="center"/>
        <w:rPr>
          <w:rFonts w:ascii="方正小标宋_GBK" w:eastAsia="方正小标宋_GBK" w:hAnsi="仿宋"/>
          <w:color w:val="000000" w:themeColor="text1"/>
          <w:sz w:val="44"/>
          <w:szCs w:val="44"/>
        </w:rPr>
      </w:pPr>
      <w:r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宿迁市住房公积金管理中心</w:t>
      </w:r>
    </w:p>
    <w:p w:rsidR="00132ECA" w:rsidRPr="00741261" w:rsidRDefault="00132ECA" w:rsidP="00132ECA">
      <w:pPr>
        <w:spacing w:line="550" w:lineRule="exact"/>
        <w:jc w:val="center"/>
        <w:rPr>
          <w:rFonts w:ascii="方正小标宋_GBK" w:eastAsia="方正小标宋_GBK" w:hAnsi="仿宋"/>
          <w:color w:val="000000" w:themeColor="text1"/>
          <w:sz w:val="44"/>
          <w:szCs w:val="44"/>
        </w:rPr>
      </w:pPr>
      <w:r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20</w:t>
      </w:r>
      <w:r w:rsidR="00544623"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20</w:t>
      </w:r>
      <w:r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年政府信息公开</w:t>
      </w:r>
      <w:r w:rsidR="00F06BD9"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工作</w:t>
      </w:r>
      <w:r w:rsidRPr="00741261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年度报告</w:t>
      </w:r>
    </w:p>
    <w:p w:rsidR="00B46DFB" w:rsidRPr="00741261" w:rsidRDefault="00B46DFB" w:rsidP="00B46DFB">
      <w:pPr>
        <w:widowControl/>
        <w:spacing w:line="520" w:lineRule="exact"/>
        <w:ind w:firstLineChars="200" w:firstLine="64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OLE_LINK1"/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宿迁市住房公积金管理中心</w:t>
      </w:r>
    </w:p>
    <w:p w:rsidR="00B46DFB" w:rsidRPr="00741261" w:rsidRDefault="00B46DFB" w:rsidP="00B46DFB">
      <w:pPr>
        <w:widowControl/>
        <w:spacing w:line="520" w:lineRule="exact"/>
        <w:ind w:firstLineChars="200" w:firstLine="64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</w:t>
      </w:r>
      <w:r w:rsidRPr="00397590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202</w:t>
      </w:r>
      <w:r w:rsidR="00C47540" w:rsidRPr="00397590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1</w:t>
      </w:r>
      <w:r w:rsidRPr="00397590">
        <w:rPr>
          <w:rFonts w:ascii="Times New Roman" w:eastAsia="楷体" w:hAnsi="楷体" w:cs="Times New Roman"/>
          <w:color w:val="000000" w:themeColor="text1"/>
          <w:kern w:val="0"/>
          <w:sz w:val="32"/>
          <w:szCs w:val="32"/>
        </w:rPr>
        <w:t>年</w:t>
      </w:r>
      <w:r w:rsidRPr="00397590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1</w:t>
      </w:r>
      <w:r w:rsidRPr="00397590">
        <w:rPr>
          <w:rFonts w:ascii="Times New Roman" w:eastAsia="楷体" w:hAnsi="楷体" w:cs="Times New Roman"/>
          <w:color w:val="000000" w:themeColor="text1"/>
          <w:kern w:val="0"/>
          <w:sz w:val="32"/>
          <w:szCs w:val="32"/>
        </w:rPr>
        <w:t>月</w:t>
      </w:r>
      <w:r w:rsidR="00CB7133" w:rsidRPr="00397590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27</w:t>
      </w:r>
      <w:r w:rsidRPr="00397590">
        <w:rPr>
          <w:rFonts w:ascii="Times New Roman" w:eastAsia="楷体" w:hAnsi="楷体" w:cs="Times New Roman"/>
          <w:color w:val="000000" w:themeColor="text1"/>
          <w:kern w:val="0"/>
          <w:sz w:val="32"/>
          <w:szCs w:val="32"/>
        </w:rPr>
        <w:t>日</w:t>
      </w: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）</w:t>
      </w:r>
    </w:p>
    <w:p w:rsidR="00B46DFB" w:rsidRPr="00741261" w:rsidRDefault="00B46DFB" w:rsidP="00B46DFB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B46DFB" w:rsidRPr="00741261" w:rsidRDefault="00257D29" w:rsidP="00257D29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根据《中华人民共和国政府信息公开条例》（以下简称《条例》）规定，现发布《宿迁市住房公积金管理中心20</w:t>
      </w:r>
      <w:r w:rsidR="004A05A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年政府信息公开工作年度报告》。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内容包括</w:t>
      </w:r>
      <w:r w:rsidR="00314098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总体情况、主动公开政府信息情况、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收到和处理政府信息公开申请情况、政府信息公开行政复议、行政诉讼情况、政府信息公开工作存在的主要问题及改进情况、</w:t>
      </w:r>
      <w:r w:rsidR="00314098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其他需要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314098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的事项。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本报告所列数据的统计期限为20</w:t>
      </w:r>
      <w:r w:rsidR="004A05A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年1月1日至20</w:t>
      </w:r>
      <w:r w:rsidR="004A05A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年12月31日。本报告通过宿迁市政府门户网站“网上宿迁”</w:t>
      </w:r>
      <w:r w:rsidR="00B46DFB" w:rsidRPr="00741261">
        <w:rPr>
          <w:rFonts w:ascii="Times New Roman" w:eastAsia="仿宋" w:hAnsi="仿宋" w:cs="Times New Roman"/>
          <w:color w:val="000000" w:themeColor="text1"/>
          <w:sz w:val="32"/>
          <w:szCs w:val="32"/>
        </w:rPr>
        <w:t>（</w:t>
      </w:r>
      <w:hyperlink r:id="rId6" w:history="1">
        <w:r w:rsidR="00B46DFB" w:rsidRPr="00741261">
          <w:rPr>
            <w:rFonts w:ascii="Times New Roman" w:eastAsia="仿宋" w:hAnsi="Times New Roman" w:cs="Times New Roman"/>
            <w:color w:val="000000" w:themeColor="text1"/>
            <w:sz w:val="32"/>
            <w:szCs w:val="32"/>
          </w:rPr>
          <w:t>http://www.suqian.gov.cn</w:t>
        </w:r>
      </w:hyperlink>
      <w:r w:rsidR="00B46DFB" w:rsidRPr="00741261">
        <w:rPr>
          <w:rFonts w:ascii="Times New Roman" w:eastAsia="仿宋" w:hAnsi="仿宋" w:cs="Times New Roman"/>
          <w:color w:val="000000" w:themeColor="text1"/>
          <w:sz w:val="32"/>
          <w:szCs w:val="32"/>
        </w:rPr>
        <w:t>）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和宿迁市住房公积金管理中心门户网站</w:t>
      </w:r>
      <w:r w:rsidR="00B46DFB" w:rsidRPr="00741261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（</w:t>
      </w:r>
      <w:r w:rsidR="00B46DFB" w:rsidRPr="00741261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http://www.sqzfgjj.com/website/index.html</w:t>
      </w:r>
      <w:r w:rsidR="00B46DFB" w:rsidRPr="00741261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）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予以公布，欢迎查阅。如对本报告有疑问，请与</w:t>
      </w:r>
      <w:r w:rsidR="008C2E6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宿迁市住房公积金管理中心办公室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联系（</w:t>
      </w:r>
      <w:r w:rsidR="008C2E6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地址：宿迁市宿城区洪泽湖路793号建设大厦8楼809室</w:t>
      </w:r>
      <w:r w:rsidR="00B706A9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C2E6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邮编：223800</w:t>
      </w:r>
      <w:r w:rsidR="00B706A9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46DFB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电话：0527-84387338，电子邮箱：sqszfgjj@163.com）。</w:t>
      </w:r>
    </w:p>
    <w:p w:rsidR="00B46DFB" w:rsidRPr="00741261" w:rsidRDefault="00B46DFB" w:rsidP="00CB7133">
      <w:pPr>
        <w:widowControl/>
        <w:spacing w:beforeLines="50" w:afterLines="50" w:line="360" w:lineRule="auto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一、总体情况</w:t>
      </w:r>
    </w:p>
    <w:p w:rsidR="00E63756" w:rsidRPr="00741261" w:rsidRDefault="00B46DFB" w:rsidP="00257D29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A05A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年，在宿迁市委、市政府的正确领导下，我中心认真贯彻落实</w:t>
      </w:r>
      <w:r w:rsidR="00E6375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《中华人民共和国政府信息公开条例》</w:t>
      </w:r>
      <w:r w:rsidR="00E6375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《宿迁市</w:t>
      </w:r>
      <w:r w:rsidR="00E6375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lastRenderedPageBreak/>
        <w:t>20</w:t>
      </w:r>
      <w:r w:rsidR="00E6375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20</w:t>
      </w:r>
      <w:r w:rsidR="00E6375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年政务公开工作要点》（宿政办发〔2020〕41号）等</w:t>
      </w:r>
      <w:r w:rsidR="00E63756" w:rsidRPr="0074126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文件精神，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按照“公开为原则，不公开为例外”的总体要求，</w:t>
      </w:r>
      <w:r w:rsidR="008E586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紧紧围绕群众最关心</w:t>
      </w:r>
      <w:r w:rsidR="008E586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的公积金</w:t>
      </w:r>
      <w:r w:rsidR="008E586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问题，</w:t>
      </w:r>
      <w:r w:rsidR="008E586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以标准化规范化建设为抓手，结合单位实际工作，</w:t>
      </w:r>
      <w:r w:rsidR="008E586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以公开促落实、</w:t>
      </w:r>
      <w:r w:rsidR="008E586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促规范、促</w:t>
      </w:r>
      <w:r w:rsidR="008E586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服务、</w:t>
      </w:r>
      <w:r w:rsidR="008E586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促廉洁</w:t>
      </w:r>
      <w:r w:rsidR="008E5866" w:rsidRPr="00741261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，</w:t>
      </w:r>
      <w:r w:rsidR="008E5866" w:rsidRPr="0074126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推动“六稳”“六保”落地落实，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不断创新公开理念、加大公开力度、提升公开实效，政务公开工作取得了较好的成效。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1.新《条例》宣传教育培训情况。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="00F10540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年，我中心</w:t>
      </w:r>
      <w:r w:rsidR="00F10540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继续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扎实开展新《条例》宣传教育培训工作，</w:t>
      </w:r>
      <w:r w:rsidRPr="0074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一是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积极参加市政务公开办召开的相关培训会议。</w:t>
      </w:r>
      <w:r w:rsidRPr="0074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二是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召开市公积金中心政务公开培训会，</w:t>
      </w:r>
      <w:r w:rsidR="00F10540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6</w:t>
      </w:r>
      <w:r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月1</w:t>
      </w:r>
      <w:r w:rsidR="00F10540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2</w:t>
      </w:r>
      <w:r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日，市公积金中心</w:t>
      </w:r>
      <w:r w:rsidR="006C1242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邀请</w:t>
      </w:r>
      <w:r w:rsidR="00F10540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政务公开专家就“新《政府信息公开条例》解读”并结合工作实际和典型</w:t>
      </w:r>
      <w:r w:rsidR="006C1242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，对中心全体干部职工</w:t>
      </w:r>
      <w:r w:rsidR="006C1242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进行了系统的培训，</w:t>
      </w:r>
      <w:r w:rsidR="00F10540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对中心政务公开工作具有很强的针对性和可操作性</w:t>
      </w:r>
      <w:r w:rsidR="004349D9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进一步提高</w:t>
      </w:r>
      <w:r w:rsid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了</w:t>
      </w:r>
      <w:r w:rsidR="004349D9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公积金中心</w:t>
      </w:r>
      <w:r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政府信息公开工作人员的业务能力和工作水平。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2.主动公开情况。</w:t>
      </w:r>
    </w:p>
    <w:p w:rsidR="0052612E" w:rsidRPr="00741261" w:rsidRDefault="0052612E" w:rsidP="00257D29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2020年，公积金中心在各类报刊和网络媒体上发表信息</w:t>
      </w:r>
      <w:r w:rsidR="00BF4FCC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55</w:t>
      </w:r>
      <w:r w:rsidR="00786E9C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4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篇，其中，两办采用信息29篇，“网上宿迁”</w:t>
      </w:r>
      <w:r w:rsidR="004349D9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120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篇，公积金中心门户网站</w:t>
      </w:r>
      <w:r w:rsidR="004349D9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</w:t>
      </w:r>
      <w:r w:rsidR="005A78A1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9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篇，其他市级报刊、媒体</w:t>
      </w:r>
      <w:r w:rsidR="00BF4FCC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6</w:t>
      </w:r>
      <w:r w:rsidR="00786E9C" w:rsidRPr="0074126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篇，政管办、中国宿豫、网上泗阳、宿城在线、中国泗洪、花乡沭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lastRenderedPageBreak/>
        <w:t>阳等网站61篇，微博公开各类信息158篇，微信公开各类信息62篇，有效提升了</w:t>
      </w:r>
      <w:r w:rsidR="00741261">
        <w:rPr>
          <w:rFonts w:ascii="仿宋" w:eastAsia="仿宋" w:hAnsi="仿宋"/>
          <w:bCs/>
          <w:color w:val="000000" w:themeColor="text1"/>
          <w:sz w:val="32"/>
          <w:szCs w:val="32"/>
        </w:rPr>
        <w:t>宿迁</w:t>
      </w:r>
      <w:r w:rsidRPr="00741261">
        <w:rPr>
          <w:rFonts w:ascii="仿宋" w:eastAsia="仿宋" w:hAnsi="仿宋"/>
          <w:bCs/>
          <w:color w:val="000000" w:themeColor="text1"/>
          <w:sz w:val="32"/>
          <w:szCs w:val="32"/>
        </w:rPr>
        <w:t>公积金的影响力。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3.依申请公开办理情况。</w:t>
      </w:r>
    </w:p>
    <w:p w:rsidR="00B46DFB" w:rsidRPr="00741261" w:rsidRDefault="00F7192D" w:rsidP="00257D2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2020年</w:t>
      </w:r>
      <w:r w:rsidR="00786E9C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共受理2件依申请公开</w:t>
      </w:r>
      <w:r w:rsidR="00182436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，全部为网络申请，我中心按照回复标准和要求，均在规定时间内办结。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4.政府信息资源管理，特别是规范化、标准化管理情况。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按照市政务公开办要求开展规范化、标准化工作。</w:t>
      </w:r>
    </w:p>
    <w:p w:rsidR="00D50F2A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5.</w:t>
      </w:r>
      <w:r w:rsidR="00D50F2A"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政府信息公开平台建设情况</w:t>
      </w:r>
      <w:r w:rsid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。</w:t>
      </w:r>
    </w:p>
    <w:p w:rsidR="00D50F2A" w:rsidRPr="00741261" w:rsidRDefault="00D50F2A" w:rsidP="00257D29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为使广大职工能更加全面准确地了解宿迁公积金各项政策，更好地宣传解读特色亮点工作，</w:t>
      </w:r>
      <w:r w:rsidR="00786E9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 w:rsidR="00182436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利用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多平台开展</w:t>
      </w:r>
      <w:r w:rsidR="00741261">
        <w:rPr>
          <w:rFonts w:ascii="仿宋" w:eastAsia="仿宋" w:hAnsi="仿宋" w:hint="eastAsia"/>
          <w:color w:val="000000" w:themeColor="text1"/>
          <w:sz w:val="32"/>
          <w:szCs w:val="32"/>
        </w:rPr>
        <w:t>政府信息公开政策</w:t>
      </w:r>
      <w:r w:rsidR="00786E9C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宣传工作，加强公积金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政策解读。</w:t>
      </w:r>
    </w:p>
    <w:p w:rsidR="00182436" w:rsidRPr="00741261" w:rsidRDefault="00D50F2A" w:rsidP="00257D2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1261">
        <w:rPr>
          <w:rFonts w:ascii="黑体" w:eastAsia="黑体" w:hAnsi="黑体" w:hint="eastAsia"/>
          <w:color w:val="000000" w:themeColor="text1"/>
          <w:sz w:val="32"/>
          <w:szCs w:val="32"/>
        </w:rPr>
        <w:t>一是多媒体平台共同解读。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2020年，</w:t>
      </w:r>
      <w:r w:rsidR="00182436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我中心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在宿迁日报、速新闻平台、电视台、手机台、宿迁网等多个市级媒体同步开展公积金政</w:t>
      </w:r>
      <w:r w:rsidR="00741261">
        <w:rPr>
          <w:rFonts w:ascii="仿宋" w:eastAsia="仿宋" w:hAnsi="仿宋" w:hint="eastAsia"/>
          <w:color w:val="000000" w:themeColor="text1"/>
          <w:sz w:val="32"/>
          <w:szCs w:val="32"/>
        </w:rPr>
        <w:t>策解读，宣传解读宿迁公积金相关政策、惠民便民举措，全面展示宿迁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公积金中心工作成效。</w:t>
      </w:r>
    </w:p>
    <w:p w:rsidR="00182436" w:rsidRPr="00741261" w:rsidRDefault="00D50F2A" w:rsidP="00257D2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1261">
        <w:rPr>
          <w:rFonts w:ascii="黑体" w:eastAsia="黑体" w:hAnsi="黑体" w:hint="eastAsia"/>
          <w:color w:val="000000" w:themeColor="text1"/>
          <w:sz w:val="32"/>
          <w:szCs w:val="32"/>
        </w:rPr>
        <w:t>二是多样化形式同步解读。</w:t>
      </w:r>
      <w:r w:rsidR="00182436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我中心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采取多种宣传形式解读公积金政策，在宿迁日报、速新闻平台、宿迁网设置“宿迁公积金政策百问百答”专栏，采取连载的形式，每周一期解读公积金政策；在电视台、手机台上采取主持人播放、动画播放等形式，每周解读1-3个群众关注点较高的公积金政策。一年来，共发布29期公积金政策“百问百答”。</w:t>
      </w:r>
    </w:p>
    <w:p w:rsidR="00D50F2A" w:rsidRPr="00741261" w:rsidRDefault="00D50F2A" w:rsidP="00257D2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1261">
        <w:rPr>
          <w:rFonts w:ascii="黑体" w:eastAsia="黑体" w:hAnsi="黑体" w:hint="eastAsia"/>
          <w:color w:val="000000" w:themeColor="text1"/>
          <w:sz w:val="32"/>
          <w:szCs w:val="32"/>
        </w:rPr>
        <w:t>三是多渠道联合深入解读。</w:t>
      </w:r>
      <w:r w:rsidR="00182436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我中心</w:t>
      </w:r>
      <w:r w:rsidR="00E21FCF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通过拓展服务渠道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全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方位深入解读公积金政策：</w:t>
      </w:r>
      <w:r w:rsidRPr="0074126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一是</w:t>
      </w:r>
      <w:r w:rsidRPr="00741261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依托多个服务渠道。</w:t>
      </w:r>
      <w:r w:rsidRPr="0074126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通过宿迁市公积金中心官网、微信、微博、手机APP、江苏政务服务网等服务渠道，一年来，用户浏览使用量达300万人次，加大了宿迁公积金政策宣传的广度；</w:t>
      </w:r>
      <w:r w:rsidRPr="00741261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二是成立公积金客服中心。</w:t>
      </w:r>
      <w:r w:rsidRPr="0074126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通过</w:t>
      </w:r>
      <w:r w:rsidRPr="00741261">
        <w:rPr>
          <w:rFonts w:ascii="仿宋" w:eastAsia="仿宋" w:hAnsi="仿宋" w:cs="Times New Roman" w:hint="eastAsia"/>
          <w:color w:val="000000" w:themeColor="text1"/>
          <w:spacing w:val="-6"/>
          <w:sz w:val="32"/>
          <w:szCs w:val="32"/>
        </w:rPr>
        <w:t>全年无休在线受理群众咨询，为群众解答公积金政策，解决公积金的疑难问题，一年来，承办网络问政省、市工单1684件，电话咨询近4万个，更好地深入宣传解读公积金政策</w:t>
      </w:r>
      <w:r w:rsidRPr="0074126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  <w:r w:rsidRPr="00741261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三是</w:t>
      </w:r>
      <w:r w:rsidRPr="00741261">
        <w:rPr>
          <w:rFonts w:ascii="仿宋" w:eastAsia="仿宋" w:hAnsi="仿宋" w:hint="eastAsia"/>
          <w:b/>
          <w:color w:val="000000" w:themeColor="text1"/>
          <w:sz w:val="32"/>
          <w:szCs w:val="32"/>
        </w:rPr>
        <w:t>现场宣传公积金政策。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通过先后组织工作人员到企业、学校、社区等地，开展现场公积金政策宣讲会，宣传解读公积金政策的同时，扩大了公积金缴存的归集面；</w:t>
      </w:r>
      <w:r w:rsidRPr="00741261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四是组织公积金“公众开放日”活动。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通过邀请社会各界人士，到宿迁公积金中心和服务大厅，进行现场公积金政策宣讲和演示公积金办理流程操作</w:t>
      </w:r>
      <w:r w:rsidR="00E21FCF"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，加深</w:t>
      </w:r>
      <w:r w:rsidRPr="00741261">
        <w:rPr>
          <w:rFonts w:ascii="仿宋" w:eastAsia="仿宋" w:hAnsi="仿宋" w:hint="eastAsia"/>
          <w:color w:val="000000" w:themeColor="text1"/>
          <w:sz w:val="32"/>
          <w:szCs w:val="32"/>
        </w:rPr>
        <w:t>群众对公积金政策的深入了解和认识。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41261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6.政府信息公开监督保障情况。</w:t>
      </w:r>
    </w:p>
    <w:p w:rsidR="00EB08E9" w:rsidRPr="00741261" w:rsidRDefault="00B46DFB" w:rsidP="00257D29">
      <w:pPr>
        <w:widowControl/>
        <w:spacing w:line="360" w:lineRule="auto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一是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将政务公开工作纳入年度重点工作。</w:t>
      </w:r>
      <w:r w:rsidRPr="0074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二是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通过宿迁市政府网站及中心网站依法公开。</w:t>
      </w:r>
      <w:r w:rsidRPr="0074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三是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在信息公开网站发布单位地址、电话、邮箱等联系方式，接受监督。</w:t>
      </w:r>
    </w:p>
    <w:p w:rsidR="00A53983" w:rsidRPr="00741261" w:rsidRDefault="00B80987" w:rsidP="00CB7133">
      <w:pPr>
        <w:widowControl/>
        <w:spacing w:beforeLines="50" w:afterLines="50"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二、主动公开政府信息情况</w:t>
      </w:r>
    </w:p>
    <w:tbl>
      <w:tblPr>
        <w:tblW w:w="8541" w:type="dxa"/>
        <w:jc w:val="center"/>
        <w:tblInd w:w="71" w:type="dxa"/>
        <w:tblCellMar>
          <w:left w:w="0" w:type="dxa"/>
          <w:right w:w="0" w:type="dxa"/>
        </w:tblCellMar>
        <w:tblLook w:val="04A0"/>
      </w:tblPr>
      <w:tblGrid>
        <w:gridCol w:w="3042"/>
        <w:gridCol w:w="1969"/>
        <w:gridCol w:w="1177"/>
        <w:gridCol w:w="2353"/>
      </w:tblGrid>
      <w:tr w:rsidR="00B80987" w:rsidRPr="00741261" w:rsidTr="00EF433B">
        <w:trPr>
          <w:trHeight w:val="495"/>
          <w:jc w:val="center"/>
        </w:trPr>
        <w:tc>
          <w:tcPr>
            <w:tcW w:w="8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第二十条第（一）项</w:t>
            </w:r>
          </w:p>
        </w:tc>
      </w:tr>
      <w:tr w:rsidR="00B80987" w:rsidRPr="00741261" w:rsidTr="00A53983">
        <w:trPr>
          <w:trHeight w:val="818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本年新制作数量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本年新</w:t>
            </w:r>
            <w:r w:rsidR="00EB08E9"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公开数量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对外公开总数量</w:t>
            </w:r>
          </w:p>
        </w:tc>
      </w:tr>
      <w:tr w:rsidR="00B80987" w:rsidRPr="00741261" w:rsidTr="00EF433B">
        <w:trPr>
          <w:trHeight w:val="523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规章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EB08E9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B80987" w:rsidRPr="00741261" w:rsidTr="00EF433B">
        <w:trPr>
          <w:trHeight w:val="471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规范性文件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EB08E9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B80987" w:rsidRPr="00741261" w:rsidTr="00EF433B">
        <w:trPr>
          <w:trHeight w:val="424"/>
          <w:jc w:val="center"/>
        </w:trPr>
        <w:tc>
          <w:tcPr>
            <w:tcW w:w="85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第二十条第（五）项</w:t>
            </w:r>
          </w:p>
        </w:tc>
      </w:tr>
      <w:tr w:rsidR="00B80987" w:rsidRPr="00741261" w:rsidTr="00EF433B">
        <w:trPr>
          <w:trHeight w:val="634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上一年项目数量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本年增/减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处理决定数量</w:t>
            </w:r>
          </w:p>
        </w:tc>
      </w:tr>
      <w:tr w:rsidR="00B80987" w:rsidRPr="00741261" w:rsidTr="00EF433B">
        <w:trPr>
          <w:trHeight w:val="528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行政许可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80987" w:rsidRPr="00741261" w:rsidTr="00EF433B">
        <w:trPr>
          <w:trHeight w:val="55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其他对外管理服务事项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80987" w:rsidRPr="00741261" w:rsidTr="00EF433B">
        <w:trPr>
          <w:trHeight w:val="406"/>
          <w:jc w:val="center"/>
        </w:trPr>
        <w:tc>
          <w:tcPr>
            <w:tcW w:w="85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第二十条第（六）项</w:t>
            </w:r>
          </w:p>
        </w:tc>
      </w:tr>
      <w:tr w:rsidR="00B80987" w:rsidRPr="00741261" w:rsidTr="00EF433B">
        <w:trPr>
          <w:trHeight w:val="634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上一年项目数量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本年增/减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处理决定数量</w:t>
            </w:r>
          </w:p>
        </w:tc>
      </w:tr>
      <w:tr w:rsidR="00B80987" w:rsidRPr="00741261" w:rsidTr="00EF433B">
        <w:trPr>
          <w:trHeight w:val="43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行政处罚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80987" w:rsidRPr="00741261" w:rsidTr="00EF433B">
        <w:trPr>
          <w:trHeight w:val="409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行政强制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0C2EEB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0C2EEB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0C2EEB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80987" w:rsidRPr="00741261" w:rsidTr="00EF433B">
        <w:trPr>
          <w:trHeight w:val="474"/>
          <w:jc w:val="center"/>
        </w:trPr>
        <w:tc>
          <w:tcPr>
            <w:tcW w:w="85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第二十条第（八）项</w:t>
            </w:r>
          </w:p>
        </w:tc>
      </w:tr>
      <w:tr w:rsidR="00B80987" w:rsidRPr="00741261" w:rsidTr="00EF433B">
        <w:trPr>
          <w:trHeight w:val="27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上一年项目数量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本年增/减</w:t>
            </w:r>
          </w:p>
        </w:tc>
      </w:tr>
      <w:tr w:rsidR="00B80987" w:rsidRPr="00741261" w:rsidTr="00EF433B">
        <w:trPr>
          <w:trHeight w:val="551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行政事业性收费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80987" w:rsidRPr="00741261" w:rsidTr="00EF433B">
        <w:trPr>
          <w:trHeight w:val="476"/>
          <w:jc w:val="center"/>
        </w:trPr>
        <w:tc>
          <w:tcPr>
            <w:tcW w:w="85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第二十条第（九）项</w:t>
            </w:r>
          </w:p>
        </w:tc>
      </w:tr>
      <w:tr w:rsidR="00B80987" w:rsidRPr="00741261" w:rsidTr="00EF433B">
        <w:trPr>
          <w:trHeight w:val="585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采购项目数量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采购总金额</w:t>
            </w:r>
          </w:p>
        </w:tc>
      </w:tr>
      <w:tr w:rsidR="00B80987" w:rsidRPr="00741261" w:rsidTr="00EF433B">
        <w:trPr>
          <w:trHeight w:val="539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政府集中采购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EB08E9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B373F7"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90.48</w:t>
            </w: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万元</w:t>
            </w:r>
          </w:p>
        </w:tc>
      </w:tr>
    </w:tbl>
    <w:p w:rsidR="00B80987" w:rsidRPr="00741261" w:rsidRDefault="00B80987" w:rsidP="00CB7133">
      <w:pPr>
        <w:widowControl/>
        <w:shd w:val="clear" w:color="auto" w:fill="FFFFFF"/>
        <w:spacing w:beforeLines="50" w:afterLines="50"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三、收到和处理政府信息公开申请情况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/>
      </w:tblPr>
      <w:tblGrid>
        <w:gridCol w:w="695"/>
        <w:gridCol w:w="1792"/>
        <w:gridCol w:w="2573"/>
        <w:gridCol w:w="467"/>
        <w:gridCol w:w="526"/>
        <w:gridCol w:w="567"/>
        <w:gridCol w:w="708"/>
        <w:gridCol w:w="709"/>
        <w:gridCol w:w="709"/>
        <w:gridCol w:w="709"/>
      </w:tblGrid>
      <w:tr w:rsidR="00B175EE" w:rsidRPr="00741261" w:rsidTr="00B37993">
        <w:trPr>
          <w:trHeight w:val="434"/>
          <w:jc w:val="center"/>
        </w:trPr>
        <w:tc>
          <w:tcPr>
            <w:tcW w:w="5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（本列数据的勾稽关系为：第一项加第二项之和，等于第三项加第四项之和）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申请人情况</w:t>
            </w:r>
          </w:p>
        </w:tc>
      </w:tr>
      <w:tr w:rsidR="00B175EE" w:rsidRPr="00741261" w:rsidTr="00B37993">
        <w:trPr>
          <w:trHeight w:val="469"/>
          <w:jc w:val="center"/>
        </w:trPr>
        <w:tc>
          <w:tcPr>
            <w:tcW w:w="50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EE" w:rsidRPr="00741261" w:rsidRDefault="00B175EE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自然人</w:t>
            </w:r>
          </w:p>
        </w:tc>
        <w:tc>
          <w:tcPr>
            <w:tcW w:w="321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总计</w:t>
            </w:r>
          </w:p>
        </w:tc>
      </w:tr>
      <w:tr w:rsidR="00B175EE" w:rsidRPr="00741261" w:rsidTr="00B37993">
        <w:trPr>
          <w:trHeight w:val="1500"/>
          <w:jc w:val="center"/>
        </w:trPr>
        <w:tc>
          <w:tcPr>
            <w:tcW w:w="50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EE" w:rsidRPr="00741261" w:rsidRDefault="00B175EE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bdr w:val="none" w:sz="0" w:space="0" w:color="auto" w:frame="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商</w:t>
            </w:r>
          </w:p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业</w:t>
            </w:r>
          </w:p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bdr w:val="none" w:sz="0" w:space="0" w:color="auto" w:frame="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企</w:t>
            </w:r>
          </w:p>
          <w:p w:rsidR="00B175EE" w:rsidRPr="00741261" w:rsidRDefault="00B175EE" w:rsidP="00257D2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科研机构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社会公益组织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法律服务机构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175EE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其他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EE" w:rsidRPr="00741261" w:rsidRDefault="00B175EE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B175EE" w:rsidRPr="00741261" w:rsidTr="00B37993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E21FCF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E21FCF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  <w:tr w:rsidR="00B175EE" w:rsidRPr="00741261" w:rsidTr="00B37993">
        <w:trPr>
          <w:jc w:val="center"/>
        </w:trPr>
        <w:tc>
          <w:tcPr>
            <w:tcW w:w="5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DF4290" w:rsidRPr="00741261" w:rsidTr="00B37993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三、</w:t>
            </w: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lastRenderedPageBreak/>
              <w:t>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lastRenderedPageBreak/>
              <w:t>（一）予以公开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373F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  <w:tr w:rsidR="00DF4290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（二）部分公开（区分处理的，只计这一情形，不计其他情形）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（三）不予公开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1.属于国家秘密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2.其他法律行政法规禁止公开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3.危及“三安全一稳定”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4.保护第三方合法权益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5.属于三类内部事务信息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6.属于四类过程性信息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7.属于行政执法案卷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8.属于行政查询事项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（四）无法提供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1.本机关不掌握相关政府信息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2.没有现成信息需要另行制作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3.补正后申请内容仍不明确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（五）不予处理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1.信访举报投诉类申请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2.重复申请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3.要求提供公开出版物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4.无正当理由大量反复申请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B175EE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5.要求行政机关确认或重新出具已获取信息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DF4290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（六）其他处理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DF4290" w:rsidRPr="00741261" w:rsidTr="00B37993">
        <w:trPr>
          <w:jc w:val="center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（七）总计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A53983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A53983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  <w:tr w:rsidR="00B175EE" w:rsidRPr="00741261" w:rsidTr="00B37993">
        <w:trPr>
          <w:jc w:val="center"/>
        </w:trPr>
        <w:tc>
          <w:tcPr>
            <w:tcW w:w="5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</w:tbl>
    <w:p w:rsidR="00A53983" w:rsidRDefault="00EB08E9" w:rsidP="00257D29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  </w:t>
      </w:r>
    </w:p>
    <w:p w:rsidR="00B80987" w:rsidRPr="00741261" w:rsidRDefault="00A53983" w:rsidP="00CB7133">
      <w:pPr>
        <w:widowControl/>
        <w:shd w:val="clear" w:color="auto" w:fill="FFFFFF"/>
        <w:spacing w:beforeLines="50" w:afterLines="50"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 xml:space="preserve">    </w:t>
      </w:r>
      <w:r w:rsidR="00B80987"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80987" w:rsidRPr="00741261" w:rsidTr="00097EE8">
        <w:trPr>
          <w:trHeight w:val="485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行政诉讼</w:t>
            </w:r>
          </w:p>
        </w:tc>
      </w:tr>
      <w:tr w:rsidR="00B80987" w:rsidRPr="00741261" w:rsidTr="00B8098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复议后起诉</w:t>
            </w:r>
          </w:p>
        </w:tc>
      </w:tr>
      <w:tr w:rsidR="00B80987" w:rsidRPr="00741261" w:rsidTr="00B8098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26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</w:tr>
      <w:tr w:rsidR="00B80987" w:rsidRPr="00741261" w:rsidTr="00B80987">
        <w:trPr>
          <w:trHeight w:val="795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7" w:rsidRPr="00741261" w:rsidRDefault="00B80987" w:rsidP="00257D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412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</w:tbl>
    <w:p w:rsidR="00B46DFB" w:rsidRPr="00741261" w:rsidRDefault="00B46DFB" w:rsidP="00CB7133">
      <w:pPr>
        <w:widowControl/>
        <w:spacing w:beforeLines="50" w:afterLines="50" w:line="36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五、政府信息公开工作存在的主要问题及改进情况</w:t>
      </w:r>
    </w:p>
    <w:p w:rsidR="00B46DFB" w:rsidRPr="00741261" w:rsidRDefault="00B46DFB" w:rsidP="00257D29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="00E21FCF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年，宿迁</w:t>
      </w:r>
      <w:r w:rsidR="00EB08E9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市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住房公积金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管理中心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在政府信息公开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工作上做了更多的探索和实践，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进一步加大公开力度，不断拓展公开广度和深度，但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仍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存在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一些</w:t>
      </w: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不足，主要表现在：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政府信息公开相关制度有待进一步落实，政务公开标准化规范化水平有待进一步提高，政</w:t>
      </w:r>
      <w:r w:rsidR="00E57C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务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公开</w:t>
      </w:r>
      <w:r w:rsidR="00B12F86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工作的培训和督查工作需进一步加强。</w:t>
      </w:r>
      <w:r w:rsidR="00B12F86" w:rsidRPr="0074126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B46DFB" w:rsidRPr="00741261" w:rsidRDefault="00EB08E9" w:rsidP="00257D29">
      <w:pPr>
        <w:widowControl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B46DFB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在202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B46DFB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年的工作中，我们将认真按照市委、市政府的要求部署，继续大力推进政</w:t>
      </w:r>
      <w:r w:rsidR="001267B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务</w:t>
      </w:r>
      <w:r w:rsidR="00B46DFB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公开工作，紧紧围绕经济社会发展和人民群众关切，在新一年的</w:t>
      </w:r>
      <w:r w:rsidR="00A539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政</w:t>
      </w:r>
      <w:r w:rsidR="001267B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务</w:t>
      </w:r>
      <w:r w:rsidR="00B46DFB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公开工作上取得新成绩。</w:t>
      </w:r>
      <w:r w:rsidR="00B12F86" w:rsidRPr="00741261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一是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进一步加强对政</w:t>
      </w:r>
      <w:r w:rsidR="001267B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务</w:t>
      </w:r>
      <w:r w:rsidR="00B12F86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工作的领导和监督，落实责任，确保把政</w:t>
      </w:r>
      <w:r w:rsidR="001267B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务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公开工作落到实处。</w:t>
      </w:r>
      <w:r w:rsidR="00B12F86" w:rsidRPr="00741261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二是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继续完善和充实政府信息公开内容，确保信息公开内容的合法、全面、及时，加强依法行政和“互联网+政务”方面的信息发布。</w:t>
      </w:r>
      <w:r w:rsidR="00B12F86" w:rsidRPr="00741261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三是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提</w:t>
      </w:r>
      <w:r w:rsidR="00B12F86" w:rsidRPr="007412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高信息发布的时效性，及时发布公积金政策调整等信息，</w:t>
      </w:r>
      <w:r w:rsidR="00B12F86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做到和政策同时发布、同步解读</w:t>
      </w:r>
      <w:r w:rsidR="00B46DFB"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B46DFB" w:rsidRPr="00741261" w:rsidRDefault="00B46DFB" w:rsidP="00257D29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4126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六、其他需要报告的事项</w:t>
      </w:r>
    </w:p>
    <w:p w:rsidR="00B46DFB" w:rsidRPr="00741261" w:rsidRDefault="00B46DFB" w:rsidP="00257D29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4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无</w:t>
      </w:r>
    </w:p>
    <w:p w:rsidR="00B46DFB" w:rsidRPr="00741261" w:rsidRDefault="00B46DFB" w:rsidP="00B46DFB">
      <w:pPr>
        <w:rPr>
          <w:color w:val="000000" w:themeColor="text1"/>
        </w:rPr>
      </w:pPr>
    </w:p>
    <w:p w:rsidR="00924B4C" w:rsidRPr="00741261" w:rsidRDefault="00EB08E9" w:rsidP="00132ECA">
      <w:pPr>
        <w:rPr>
          <w:color w:val="000000" w:themeColor="text1"/>
        </w:rPr>
      </w:pPr>
      <w:r w:rsidRPr="00741261">
        <w:rPr>
          <w:rFonts w:hint="eastAsia"/>
          <w:color w:val="000000" w:themeColor="text1"/>
        </w:rPr>
        <w:t xml:space="preserve"> </w:t>
      </w:r>
      <w:bookmarkEnd w:id="0"/>
    </w:p>
    <w:sectPr w:rsidR="00924B4C" w:rsidRPr="00741261" w:rsidSect="0092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08" w:rsidRDefault="00880908" w:rsidP="00132ECA">
      <w:r>
        <w:separator/>
      </w:r>
    </w:p>
  </w:endnote>
  <w:endnote w:type="continuationSeparator" w:id="0">
    <w:p w:rsidR="00880908" w:rsidRDefault="00880908" w:rsidP="0013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08" w:rsidRDefault="00880908" w:rsidP="00132ECA">
      <w:r>
        <w:separator/>
      </w:r>
    </w:p>
  </w:footnote>
  <w:footnote w:type="continuationSeparator" w:id="0">
    <w:p w:rsidR="00880908" w:rsidRDefault="00880908" w:rsidP="00132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987"/>
    <w:rsid w:val="0000155B"/>
    <w:rsid w:val="0001363B"/>
    <w:rsid w:val="00097EE8"/>
    <w:rsid w:val="000C2EEB"/>
    <w:rsid w:val="00110BC9"/>
    <w:rsid w:val="001132E9"/>
    <w:rsid w:val="001267BE"/>
    <w:rsid w:val="00126C6D"/>
    <w:rsid w:val="00132ECA"/>
    <w:rsid w:val="00155C4D"/>
    <w:rsid w:val="00182436"/>
    <w:rsid w:val="001D119F"/>
    <w:rsid w:val="001D202E"/>
    <w:rsid w:val="001F2185"/>
    <w:rsid w:val="00257D29"/>
    <w:rsid w:val="0029041E"/>
    <w:rsid w:val="002E20C5"/>
    <w:rsid w:val="00314098"/>
    <w:rsid w:val="00397590"/>
    <w:rsid w:val="003E6369"/>
    <w:rsid w:val="003F27F2"/>
    <w:rsid w:val="003F333C"/>
    <w:rsid w:val="004349D9"/>
    <w:rsid w:val="004A05AC"/>
    <w:rsid w:val="004B0C04"/>
    <w:rsid w:val="004C0449"/>
    <w:rsid w:val="004C5106"/>
    <w:rsid w:val="004F2448"/>
    <w:rsid w:val="0052612E"/>
    <w:rsid w:val="00544623"/>
    <w:rsid w:val="005570B5"/>
    <w:rsid w:val="005709AA"/>
    <w:rsid w:val="005A4804"/>
    <w:rsid w:val="005A78A1"/>
    <w:rsid w:val="005B45DB"/>
    <w:rsid w:val="005E383C"/>
    <w:rsid w:val="00645889"/>
    <w:rsid w:val="00671EED"/>
    <w:rsid w:val="006A1804"/>
    <w:rsid w:val="006B528E"/>
    <w:rsid w:val="006C1242"/>
    <w:rsid w:val="006E109D"/>
    <w:rsid w:val="007046B3"/>
    <w:rsid w:val="007232B1"/>
    <w:rsid w:val="00741261"/>
    <w:rsid w:val="00786E9C"/>
    <w:rsid w:val="00880908"/>
    <w:rsid w:val="008A135C"/>
    <w:rsid w:val="008A3668"/>
    <w:rsid w:val="008C2E6C"/>
    <w:rsid w:val="008D6255"/>
    <w:rsid w:val="008E5866"/>
    <w:rsid w:val="008F0B3E"/>
    <w:rsid w:val="00911769"/>
    <w:rsid w:val="00924B4C"/>
    <w:rsid w:val="009464B9"/>
    <w:rsid w:val="00982591"/>
    <w:rsid w:val="009F2472"/>
    <w:rsid w:val="009F73E6"/>
    <w:rsid w:val="00A47CCA"/>
    <w:rsid w:val="00A53983"/>
    <w:rsid w:val="00A679F0"/>
    <w:rsid w:val="00A74DF1"/>
    <w:rsid w:val="00A92F57"/>
    <w:rsid w:val="00AC47B5"/>
    <w:rsid w:val="00AF71A2"/>
    <w:rsid w:val="00B12F86"/>
    <w:rsid w:val="00B175EE"/>
    <w:rsid w:val="00B373F7"/>
    <w:rsid w:val="00B37993"/>
    <w:rsid w:val="00B46DFB"/>
    <w:rsid w:val="00B663C9"/>
    <w:rsid w:val="00B706A9"/>
    <w:rsid w:val="00B80987"/>
    <w:rsid w:val="00BF4FCC"/>
    <w:rsid w:val="00C17596"/>
    <w:rsid w:val="00C47540"/>
    <w:rsid w:val="00C82969"/>
    <w:rsid w:val="00CB7133"/>
    <w:rsid w:val="00D50F2A"/>
    <w:rsid w:val="00D51438"/>
    <w:rsid w:val="00D9008C"/>
    <w:rsid w:val="00DF4290"/>
    <w:rsid w:val="00E21FCF"/>
    <w:rsid w:val="00E336AC"/>
    <w:rsid w:val="00E57CF8"/>
    <w:rsid w:val="00E63756"/>
    <w:rsid w:val="00E65EB9"/>
    <w:rsid w:val="00E74A10"/>
    <w:rsid w:val="00E872D0"/>
    <w:rsid w:val="00EB08E9"/>
    <w:rsid w:val="00EC074C"/>
    <w:rsid w:val="00EF433B"/>
    <w:rsid w:val="00F06BD9"/>
    <w:rsid w:val="00F10540"/>
    <w:rsid w:val="00F1273B"/>
    <w:rsid w:val="00F345D9"/>
    <w:rsid w:val="00F7192D"/>
    <w:rsid w:val="00FA23CF"/>
    <w:rsid w:val="00FD61ED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7C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2EC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7C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0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2E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2ECA"/>
    <w:rPr>
      <w:sz w:val="18"/>
      <w:szCs w:val="18"/>
    </w:rPr>
  </w:style>
  <w:style w:type="character" w:styleId="a6">
    <w:name w:val="Hyperlink"/>
    <w:basedOn w:val="a0"/>
    <w:uiPriority w:val="99"/>
    <w:unhideWhenUsed/>
    <w:rsid w:val="00132EC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132ECA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47CCA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A47C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B08E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50F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0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197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qzfgjj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8</Pages>
  <Words>555</Words>
  <Characters>3165</Characters>
  <Application>Microsoft Office Word</Application>
  <DocSecurity>0</DocSecurity>
  <Lines>26</Lines>
  <Paragraphs>7</Paragraphs>
  <ScaleCrop>false</ScaleCrop>
  <Company>china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47</cp:revision>
  <cp:lastPrinted>2021-01-27T01:52:00Z</cp:lastPrinted>
  <dcterms:created xsi:type="dcterms:W3CDTF">2020-01-16T01:49:00Z</dcterms:created>
  <dcterms:modified xsi:type="dcterms:W3CDTF">2021-01-27T06:55:00Z</dcterms:modified>
</cp:coreProperties>
</file>